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方正小标宋简体"/>
          <w:color w:val="000000"/>
          <w:sz w:val="30"/>
          <w:szCs w:val="30"/>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96475"/>
      <w:bookmarkStart w:id="2" w:name="_Toc15378441"/>
      <w:bookmarkStart w:id="3" w:name="_Toc15377425"/>
      <w:bookmarkStart w:id="4" w:name="_Toc15377193"/>
      <w:bookmarkStart w:id="5" w:name="_Toc15396597"/>
      <w:r>
        <w:rPr>
          <w:rFonts w:eastAsia="黑体"/>
          <w:color w:val="000000"/>
          <w:sz w:val="72"/>
          <w:szCs w:val="72"/>
        </w:rPr>
        <w:t>202</w:t>
      </w:r>
      <w:r>
        <w:rPr>
          <w:rFonts w:hint="eastAsia" w:eastAsia="黑体"/>
          <w:color w:val="000000"/>
          <w:sz w:val="72"/>
          <w:szCs w:val="72"/>
        </w:rPr>
        <w:t>1</w:t>
      </w:r>
      <w:r>
        <w:rPr>
          <w:rFonts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96476"/>
      <w:bookmarkStart w:id="8" w:name="_Toc15377426"/>
      <w:bookmarkStart w:id="9" w:name="_Toc15396598"/>
      <w:bookmarkStart w:id="10" w:name="_Toc15378442"/>
      <w:r>
        <w:rPr>
          <w:rFonts w:eastAsia="方正小标宋简体"/>
          <w:color w:val="000000"/>
          <w:sz w:val="72"/>
          <w:szCs w:val="72"/>
        </w:rPr>
        <w:t>资</w:t>
      </w:r>
      <w:bookmarkEnd w:id="6"/>
      <w:bookmarkEnd w:id="7"/>
      <w:bookmarkEnd w:id="8"/>
      <w:bookmarkEnd w:id="9"/>
      <w:bookmarkEnd w:id="10"/>
      <w:bookmarkStart w:id="11" w:name="_Toc15306268"/>
      <w:r>
        <w:rPr>
          <w:rFonts w:eastAsia="方正小标宋简体"/>
          <w:color w:val="000000"/>
          <w:sz w:val="72"/>
          <w:szCs w:val="72"/>
        </w:rPr>
        <w:t>阳市</w:t>
      </w:r>
      <w:r>
        <w:rPr>
          <w:rFonts w:hint="eastAsia" w:ascii="方正小标宋简体" w:hAnsi="方正小标宋简体" w:eastAsia="方正小标宋简体" w:cs="方正小标宋简体"/>
          <w:sz w:val="72"/>
          <w:szCs w:val="72"/>
        </w:rPr>
        <w:t>公路事业发展中心单位决算</w:t>
      </w:r>
    </w:p>
    <w:bookmarkEnd w:id="11"/>
    <w:p>
      <w:pPr>
        <w:widowControl/>
        <w:jc w:val="center"/>
        <w:rPr>
          <w:rFonts w:ascii="方正小标宋简体" w:hAnsi="宋体" w:eastAsia="方正小标宋简体"/>
          <w:sz w:val="52"/>
          <w:szCs w:val="52"/>
        </w:rPr>
      </w:pPr>
    </w:p>
    <w:p>
      <w:pPr>
        <w:widowControl/>
        <w:jc w:val="center"/>
        <w:rPr>
          <w:rFonts w:ascii="方正小标宋简体" w:hAnsi="宋体" w:eastAsia="方正小标宋简体"/>
          <w:sz w:val="52"/>
          <w:szCs w:val="52"/>
        </w:rPr>
      </w:pPr>
    </w:p>
    <w:p>
      <w:pPr>
        <w:widowControl/>
        <w:jc w:val="center"/>
        <w:rPr>
          <w:rFonts w:ascii="方正小标宋简体" w:hAnsi="宋体" w:eastAsia="方正小标宋简体"/>
          <w:sz w:val="52"/>
          <w:szCs w:val="52"/>
        </w:rPr>
      </w:pPr>
    </w:p>
    <w:p>
      <w:pPr>
        <w:widowControl/>
        <w:jc w:val="center"/>
        <w:rPr>
          <w:rFonts w:ascii="方正小标宋简体" w:hAnsi="宋体" w:eastAsia="方正小标宋简体"/>
          <w:sz w:val="52"/>
          <w:szCs w:val="52"/>
        </w:rPr>
      </w:pPr>
    </w:p>
    <w:p>
      <w:pPr>
        <w:widowControl/>
        <w:jc w:val="center"/>
        <w:rPr>
          <w:rFonts w:ascii="方正小标宋简体" w:hAnsi="宋体" w:eastAsia="方正小标宋简体"/>
          <w:sz w:val="52"/>
          <w:szCs w:val="52"/>
        </w:rPr>
      </w:pPr>
    </w:p>
    <w:p>
      <w:pPr>
        <w:widowControl/>
        <w:jc w:val="center"/>
        <w:rPr>
          <w:rFonts w:ascii="方正小标宋简体" w:hAnsi="宋体" w:eastAsia="方正小标宋简体"/>
          <w:sz w:val="52"/>
          <w:szCs w:val="52"/>
        </w:rPr>
      </w:pPr>
    </w:p>
    <w:p>
      <w:pPr>
        <w:widowControl/>
        <w:jc w:val="center"/>
        <w:rPr>
          <w:rFonts w:ascii="方正小标宋简体" w:hAnsi="宋体" w:eastAsia="方正小标宋简体"/>
          <w:sz w:val="52"/>
          <w:szCs w:val="52"/>
        </w:rPr>
      </w:pPr>
    </w:p>
    <w:p>
      <w:pPr>
        <w:widowControl/>
        <w:jc w:val="center"/>
        <w:rPr>
          <w:rFonts w:eastAsia="黑体"/>
          <w:color w:val="000000"/>
          <w:sz w:val="48"/>
          <w:szCs w:val="48"/>
        </w:rPr>
      </w:pPr>
      <w:r>
        <w:rPr>
          <w:rFonts w:eastAsia="黑体"/>
          <w:color w:val="000000"/>
          <w:sz w:val="48"/>
          <w:szCs w:val="48"/>
        </w:rPr>
        <w:t>目录</w:t>
      </w:r>
    </w:p>
    <w:p>
      <w:pPr>
        <w:pStyle w:val="8"/>
        <w:spacing w:before="0" w:line="560" w:lineRule="exact"/>
        <w:ind w:left="105" w:leftChars="50"/>
        <w:rPr>
          <w:rFonts w:ascii="方正仿宋_GBK" w:hAnsi="Times New Roman" w:eastAsia="方正仿宋_GBK"/>
          <w:sz w:val="32"/>
          <w:szCs w:val="32"/>
        </w:rPr>
      </w:pPr>
      <w:r>
        <w:rPr>
          <w:rFonts w:hint="eastAsia" w:ascii="方正仿宋_GBK" w:hAnsi="Times New Roman" w:eastAsia="方正仿宋_GBK"/>
          <w:sz w:val="32"/>
          <w:szCs w:val="32"/>
        </w:rPr>
        <w:t>公开时间：</w:t>
      </w:r>
      <w:r>
        <w:rPr>
          <w:rFonts w:hint="default" w:ascii="Times New Roman" w:hAnsi="Times New Roman" w:eastAsia="方正仿宋_GBK" w:cs="Times New Roman"/>
          <w:sz w:val="32"/>
          <w:szCs w:val="32"/>
        </w:rPr>
        <w:t>2022</w:t>
      </w:r>
      <w:r>
        <w:rPr>
          <w:rFonts w:hint="eastAsia" w:ascii="方正仿宋_GBK" w:hAnsi="Times New Roman" w:eastAsia="方正仿宋_GBK"/>
          <w:sz w:val="32"/>
          <w:szCs w:val="32"/>
        </w:rPr>
        <w:t>年</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1日</w:t>
      </w:r>
    </w:p>
    <w:p>
      <w:pPr>
        <w:spacing w:line="560" w:lineRule="exact"/>
        <w:ind w:left="105" w:leftChars="50"/>
        <w:rPr>
          <w:rFonts w:ascii="方正仿宋_GBK" w:eastAsia="方正仿宋_GBK"/>
          <w:sz w:val="32"/>
          <w:szCs w:val="32"/>
        </w:rPr>
      </w:pPr>
    </w:p>
    <w:p>
      <w:pPr>
        <w:pStyle w:val="8"/>
        <w:adjustRightInd w:val="0"/>
        <w:snapToGrid w:val="0"/>
        <w:spacing w:before="0" w:line="560" w:lineRule="exact"/>
        <w:ind w:left="105" w:leftChars="50"/>
        <w:jc w:val="left"/>
        <w:rPr>
          <w:rFonts w:ascii="方正仿宋_GBK" w:hAnsi="Times New Roman" w:eastAsia="方正仿宋_GBK"/>
          <w:b/>
          <w:sz w:val="32"/>
          <w:szCs w:val="32"/>
        </w:rPr>
      </w:pPr>
      <w:r>
        <w:rPr>
          <w:rFonts w:hint="eastAsia" w:ascii="方正仿宋_GBK" w:hAnsi="Times New Roman" w:eastAsia="方正仿宋_GBK"/>
          <w:b/>
          <w:sz w:val="32"/>
          <w:szCs w:val="32"/>
        </w:rPr>
        <w:t>第一部分 部门概况</w:t>
      </w:r>
    </w:p>
    <w:p>
      <w:pPr>
        <w:pStyle w:val="9"/>
        <w:adjustRightInd w:val="0"/>
        <w:snapToGrid w:val="0"/>
        <w:spacing w:line="560" w:lineRule="exact"/>
        <w:ind w:left="105" w:leftChars="50"/>
        <w:jc w:val="left"/>
        <w:rPr>
          <w:rFonts w:ascii="方正仿宋_GBK" w:eastAsia="方正仿宋_GBK"/>
          <w:sz w:val="32"/>
          <w:szCs w:val="32"/>
        </w:rPr>
      </w:pPr>
      <w:r>
        <w:rPr>
          <w:rFonts w:hint="eastAsia" w:ascii="方正仿宋_GBK" w:eastAsia="方正仿宋_GBK"/>
          <w:sz w:val="32"/>
          <w:szCs w:val="32"/>
        </w:rPr>
        <w:t>一、基本职能及主要工作</w:t>
      </w:r>
      <w:r>
        <w:rPr>
          <w:rFonts w:ascii="方正仿宋_GBK" w:eastAsia="方正仿宋_GBK"/>
          <w:sz w:val="32"/>
          <w:szCs w:val="32"/>
        </w:rPr>
        <w:t>……………………………………</w:t>
      </w:r>
      <w:r>
        <w:rPr>
          <w:rFonts w:hint="default" w:ascii="Times New Roman" w:hAnsi="Times New Roman" w:eastAsia="方正仿宋_GBK" w:cs="Times New Roman"/>
          <w:sz w:val="32"/>
          <w:szCs w:val="32"/>
        </w:rPr>
        <w:t>4</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方正仿宋_GBK" w:eastAsia="方正仿宋_GBK"/>
          <w:sz w:val="32"/>
          <w:szCs w:val="32"/>
        </w:rPr>
        <w:t>二</w:t>
      </w:r>
      <w:r>
        <w:rPr>
          <w:rFonts w:hint="eastAsia" w:ascii="Times New Roman" w:hAnsi="Times New Roman" w:eastAsia="方正仿宋_GBK" w:cs="Times New Roman"/>
          <w:sz w:val="32"/>
          <w:szCs w:val="32"/>
        </w:rPr>
        <w:t>、机构设置</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6</w:t>
      </w:r>
    </w:p>
    <w:p>
      <w:pPr>
        <w:pStyle w:val="9"/>
        <w:adjustRightInd w:val="0"/>
        <w:snapToGrid w:val="0"/>
        <w:spacing w:line="560" w:lineRule="exact"/>
        <w:ind w:left="105" w:leftChars="50"/>
        <w:jc w:val="left"/>
        <w:rPr>
          <w:rFonts w:hint="default"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第二部分 2021年度部门决算情况说明</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一、收入支出决算总体情况说明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7</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二、收入决算情况说明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7</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三、支出决算情况说明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8</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四、财政拨款收入支出决算总体情况说明</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8</w:t>
      </w:r>
      <w:r>
        <w:rPr>
          <w:rFonts w:hint="eastAsia" w:ascii="Times New Roman" w:hAnsi="Times New Roman" w:eastAsia="方正仿宋_GBK" w:cs="Times New Roman"/>
          <w:sz w:val="32"/>
          <w:szCs w:val="32"/>
        </w:rPr>
        <w:t>五、一般公共预算财政拨款支出决算情况说明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9</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六、一般公共预算财政拨款基本支出决算情况说明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rPr>
        <w:t>七、“三公”经费财政拨款支出决算情况说明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rPr>
        <w:t>八、政府性基金预算支出决算情况说明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rPr>
        <w:t>九、国有资本经营预算支出决算情况说明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rPr>
        <w:t>十、其他重要事项的情况说明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eastAsia="方正仿宋_GBK" w:cs="Times New Roman"/>
          <w:sz w:val="32"/>
          <w:szCs w:val="32"/>
          <w:lang w:val="en-US" w:eastAsia="zh-CN"/>
        </w:rPr>
        <w:t>4</w:t>
      </w:r>
      <w:r>
        <w:rPr>
          <w:rFonts w:hint="eastAsia" w:ascii="Times New Roman" w:hAnsi="Times New Roman" w:eastAsia="方正仿宋_GBK" w:cs="Times New Roman"/>
          <w:b/>
          <w:bCs/>
          <w:sz w:val="32"/>
          <w:szCs w:val="32"/>
        </w:rPr>
        <w:t>第三部分 名词解释</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eastAsia="方正仿宋_GBK" w:cs="Times New Roman"/>
          <w:sz w:val="32"/>
          <w:szCs w:val="32"/>
          <w:lang w:val="en-US" w:eastAsia="zh-CN"/>
        </w:rPr>
        <w:t>6</w:t>
      </w:r>
      <w:r>
        <w:rPr>
          <w:rFonts w:hint="eastAsia" w:ascii="Times New Roman" w:hAnsi="Times New Roman" w:eastAsia="方正仿宋_GBK" w:cs="Times New Roman"/>
          <w:b/>
          <w:bCs/>
          <w:sz w:val="32"/>
          <w:szCs w:val="32"/>
        </w:rPr>
        <w:t>第四部分 附件</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19</w:t>
      </w:r>
      <w:r>
        <w:rPr>
          <w:rFonts w:hint="eastAsia" w:ascii="Times New Roman" w:hAnsi="Times New Roman" w:eastAsia="方正仿宋_GBK" w:cs="Times New Roman"/>
          <w:b/>
          <w:bCs/>
          <w:sz w:val="32"/>
          <w:szCs w:val="32"/>
        </w:rPr>
        <w:t>第五部分 附表</w:t>
      </w:r>
      <w:r>
        <w:rPr>
          <w:rFonts w:hint="default" w:ascii="Times New Roman" w:hAnsi="Times New Roman" w:eastAsia="方正仿宋_GBK" w:cs="Times New Roman"/>
          <w:sz w:val="32"/>
          <w:szCs w:val="32"/>
        </w:rPr>
        <w:t>………………………………………………</w:t>
      </w:r>
      <w:r>
        <w:rPr>
          <w:rFonts w:hint="default" w:eastAsia="方正仿宋_GBK" w:cs="Times New Roman"/>
          <w:sz w:val="32"/>
          <w:szCs w:val="32"/>
          <w:lang w:val="en"/>
        </w:rPr>
        <w:t>39</w:t>
      </w:r>
      <w:r>
        <w:rPr>
          <w:rFonts w:hint="eastAsia" w:ascii="Times New Roman" w:hAnsi="Times New Roman" w:eastAsia="方正仿宋_GBK" w:cs="Times New Roman"/>
          <w:sz w:val="32"/>
          <w:szCs w:val="32"/>
        </w:rPr>
        <w:t>一、收入支出决算总表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二、收入决算表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三、支出决算表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四、财政拨款收入支出决算总表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五、财政拨款支出决算明细表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六、一般公共预算财政拨款支出决算表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七、一般公共预算财政拨款支出决算明细表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八、一般公共预算财政拨款基本支出决算表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九、一般公共预算财政拨款项目支出决算表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十、一般公共预算财政拨款“三公”经费支出决算表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十一、政府性基金预算财政拨款收入支出决算表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十二、政府性基金预算财政拨款“三公”经费支出决算表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十三、国有资本经营预算财政拨款收入支出决算表</w:t>
      </w:r>
    </w:p>
    <w:p>
      <w:pPr>
        <w:pStyle w:val="9"/>
        <w:adjustRightInd w:val="0"/>
        <w:snapToGrid w:val="0"/>
        <w:spacing w:line="560" w:lineRule="exact"/>
        <w:ind w:left="105" w:leftChars="5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十四、国有资本经营预算财政拨款支出决算表</w:t>
      </w:r>
    </w:p>
    <w:p>
      <w:pPr>
        <w:widowControl/>
        <w:spacing w:line="440" w:lineRule="exact"/>
        <w:jc w:val="center"/>
        <w:rPr>
          <w:rStyle w:val="13"/>
          <w:rFonts w:ascii="方正小标宋简体" w:eastAsia="方正小标宋简体"/>
          <w:b w:val="0"/>
          <w:bCs/>
          <w:sz w:val="36"/>
          <w:szCs w:val="36"/>
        </w:rPr>
      </w:pPr>
      <w:bookmarkStart w:id="12" w:name="_Toc15377196"/>
      <w:bookmarkStart w:id="13" w:name="_Toc15396599"/>
      <w:r>
        <w:rPr>
          <w:rFonts w:eastAsia="仿宋"/>
          <w:b/>
          <w:sz w:val="24"/>
        </w:rPr>
        <w:br w:type="page"/>
      </w:r>
      <w:r>
        <w:rPr>
          <w:rStyle w:val="13"/>
          <w:rFonts w:hint="eastAsia" w:ascii="方正小标宋简体" w:eastAsia="方正小标宋简体"/>
          <w:b w:val="0"/>
          <w:bCs/>
          <w:sz w:val="36"/>
          <w:szCs w:val="36"/>
        </w:rPr>
        <w:t>第一部分 单位概况</w:t>
      </w:r>
      <w:bookmarkEnd w:id="12"/>
      <w:bookmarkEnd w:id="13"/>
    </w:p>
    <w:p>
      <w:pPr>
        <w:rPr>
          <w:b/>
        </w:rPr>
      </w:pPr>
    </w:p>
    <w:p>
      <w:pPr>
        <w:pStyle w:val="4"/>
        <w:spacing w:before="0" w:after="0" w:line="560" w:lineRule="exact"/>
        <w:ind w:firstLine="640" w:firstLineChars="200"/>
        <w:rPr>
          <w:rStyle w:val="14"/>
          <w:rFonts w:ascii="方正黑体简体" w:eastAsia="方正黑体简体"/>
          <w:b w:val="0"/>
          <w:bCs/>
        </w:rPr>
      </w:pPr>
      <w:bookmarkStart w:id="14" w:name="_Toc15396600"/>
      <w:bookmarkStart w:id="15" w:name="_Toc15377197"/>
      <w:r>
        <w:rPr>
          <w:rStyle w:val="14"/>
          <w:rFonts w:hint="eastAsia" w:ascii="方正黑体简体" w:eastAsia="方正黑体简体"/>
          <w:b w:val="0"/>
          <w:bCs/>
        </w:rPr>
        <w:t>一、基本职能及主要工作</w:t>
      </w:r>
      <w:bookmarkEnd w:id="14"/>
      <w:bookmarkEnd w:id="15"/>
    </w:p>
    <w:p>
      <w:pPr>
        <w:pStyle w:val="2"/>
        <w:adjustRightInd w:val="0"/>
        <w:snapToGrid w:val="0"/>
        <w:spacing w:beforeLines="0" w:line="560" w:lineRule="exact"/>
        <w:ind w:firstLine="674" w:firstLineChars="210"/>
        <w:outlineLvl w:val="2"/>
        <w:rPr>
          <w:rFonts w:ascii="方正仿宋_GBK" w:eastAsia="方正仿宋_GBK"/>
          <w:b/>
          <w:bCs w:val="0"/>
          <w:i/>
          <w:sz w:val="32"/>
          <w:szCs w:val="32"/>
        </w:rPr>
      </w:pPr>
      <w:bookmarkStart w:id="16" w:name="_Toc15378445"/>
      <w:bookmarkStart w:id="17" w:name="_Toc15377198"/>
      <w:r>
        <w:rPr>
          <w:rFonts w:hint="eastAsia" w:ascii="方正楷体_GBK" w:hAnsi="方正楷体_GBK" w:eastAsia="方正楷体_GBK" w:cs="方正楷体_GBK"/>
          <w:b/>
          <w:bCs w:val="0"/>
          <w:color w:val="000000"/>
          <w:sz w:val="32"/>
          <w:szCs w:val="32"/>
        </w:rPr>
        <w:t>（一）主要职能</w:t>
      </w:r>
      <w:bookmarkEnd w:id="16"/>
      <w:bookmarkEnd w:id="17"/>
      <w:bookmarkStart w:id="18" w:name="_Toc15377199"/>
      <w:bookmarkStart w:id="19" w:name="_Toc15378446"/>
    </w:p>
    <w:p>
      <w:pPr>
        <w:snapToGrid w:val="0"/>
        <w:spacing w:line="560" w:lineRule="exact"/>
        <w:ind w:firstLine="640" w:firstLineChars="200"/>
        <w:rPr>
          <w:rFonts w:ascii="方正仿宋_GBK" w:hAnsi="仿宋" w:eastAsia="方正仿宋_GBK"/>
          <w:sz w:val="32"/>
          <w:szCs w:val="32"/>
        </w:rPr>
      </w:pPr>
      <w:r>
        <w:rPr>
          <w:rFonts w:hint="default" w:ascii="Times New Roman" w:hAnsi="Times New Roman" w:eastAsia="方正仿宋_GBK" w:cs="Times New Roman"/>
          <w:sz w:val="32"/>
          <w:szCs w:val="32"/>
        </w:rPr>
        <w:t>1</w:t>
      </w:r>
      <w:r>
        <w:rPr>
          <w:rFonts w:hint="eastAsia" w:ascii="方正仿宋_GBK" w:hAnsi="仿宋" w:eastAsia="方正仿宋_GBK"/>
          <w:sz w:val="32"/>
          <w:szCs w:val="32"/>
        </w:rPr>
        <w:t>.贯彻执行国家有关公路的法律、法规、方针、政策和技术规范，协助局拟定全市公路行业发展政策、法规并监督执行。</w:t>
      </w:r>
      <w:r>
        <w:rPr>
          <w:rFonts w:hint="eastAsia" w:ascii="方正仿宋_GBK" w:hAnsi="仿宋" w:eastAsia="方正仿宋_GBK"/>
          <w:sz w:val="32"/>
          <w:szCs w:val="32"/>
        </w:rPr>
        <w:br w:type="textWrapping"/>
      </w:r>
      <w:r>
        <w:rPr>
          <w:rFonts w:hint="eastAsia" w:ascii="方正仿宋_GBK" w:hAnsi="仿宋" w:eastAsia="方正仿宋_GBK"/>
          <w:sz w:val="32"/>
          <w:szCs w:val="32"/>
        </w:rPr>
        <w:t xml:space="preserve">    </w:t>
      </w:r>
      <w:r>
        <w:rPr>
          <w:rFonts w:hint="eastAsia" w:ascii="Times New Roman" w:hAnsi="Times New Roman" w:eastAsia="方正仿宋_GBK" w:cs="Times New Roman"/>
          <w:sz w:val="32"/>
          <w:szCs w:val="32"/>
        </w:rPr>
        <w:t>2.参与全市公路发展规划、年度建设计划和养护计划编拟。</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3.协助市交通运输局管理公路建设和养护市场，维护市场竞争秩序。</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4.协助全市公路建设和养护工程项目服务协调和技术指导工作，参与设计文件审查、质量安全指导、竣工验收等。</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5.负责全市公路养护管理业务指导；负责全市国省干线公路桥隧定期检查，组织开展全市国省干线公路桥隧的相关评定、评估；指导农村公路桥隧养护管理工作。</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6.负责业务范围内的安全监督工作；督促指导全市公路安全隐患整治和风险管控。</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7.统筹协调全市公路应急抢险工作，负责Ш级公路交通突发事件应急抢险，配合公路战备保障工作。</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8.统筹全市公路信息化建设工作，负责全市公路行业统计，基础数据库的维护、管理以及路况信息的收集、分析、发布工作。</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9.负责指导行业科技工作，组织公路科研项目的初评、推荐；推广公路养护“四新技术”；开展全市公路建设、养护、桥隧管养技术业务培训。</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10.指导全市公路行业的财务预决算编报、会计核算和财务管理工作；监督指导公路建设资金和养护资金使用管理；参与公路专项资金使用情况审计工作。</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11.指导全市公路行业精神文明建设、行风政风建设、职工队伍建设工作。</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12.领导全市公路养护行业基层工会，抓好行业职工职业道德和技能培训教育，维护本行业职工的合法权益。</w:t>
      </w:r>
      <w:r>
        <w:rPr>
          <w:rFonts w:hint="eastAsia"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 xml:space="preserve">   13.完成市交通运输局交办的其他事项。</w:t>
      </w:r>
    </w:p>
    <w:p>
      <w:pPr>
        <w:pStyle w:val="2"/>
        <w:adjustRightInd w:val="0"/>
        <w:snapToGrid w:val="0"/>
        <w:spacing w:beforeLines="0" w:line="560" w:lineRule="exact"/>
        <w:ind w:firstLine="674" w:firstLineChars="210"/>
        <w:outlineLvl w:val="2"/>
        <w:rPr>
          <w:rFonts w:hint="eastAsia" w:ascii="方正楷体_GBK" w:hAnsi="方正楷体_GBK" w:eastAsia="方正楷体_GBK" w:cs="方正楷体_GBK"/>
          <w:b/>
          <w:bCs w:val="0"/>
          <w:color w:val="000000"/>
          <w:sz w:val="32"/>
          <w:szCs w:val="32"/>
        </w:rPr>
      </w:pPr>
      <w:r>
        <w:rPr>
          <w:rFonts w:hint="eastAsia" w:ascii="方正楷体_GBK" w:hAnsi="方正楷体_GBK" w:eastAsia="方正楷体_GBK" w:cs="方正楷体_GBK"/>
          <w:b/>
          <w:bCs w:val="0"/>
          <w:color w:val="000000"/>
          <w:sz w:val="32"/>
          <w:szCs w:val="32"/>
        </w:rPr>
        <w:t>（二）2021年重点工作完成情况</w:t>
      </w:r>
      <w:bookmarkEnd w:id="18"/>
      <w:bookmarkEnd w:id="19"/>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方正仿宋_GBK" w:hAnsi="仿宋" w:eastAsia="方正仿宋_GBK"/>
          <w:b/>
          <w:bCs/>
          <w:sz w:val="32"/>
          <w:szCs w:val="32"/>
        </w:rPr>
        <w:t>.规范推进国省干线公路管养。</w:t>
      </w:r>
      <w:r>
        <w:rPr>
          <w:rFonts w:hint="eastAsia" w:ascii="方正仿宋_GBK" w:hAnsi="仿宋" w:eastAsia="方正仿宋_GBK"/>
          <w:sz w:val="32"/>
          <w:szCs w:val="32"/>
        </w:rPr>
        <w:t>一是不断加强日常管养。完成了</w:t>
      </w:r>
      <w:r>
        <w:rPr>
          <w:rFonts w:hint="default" w:ascii="Times New Roman" w:hAnsi="Times New Roman" w:eastAsia="方正仿宋_GBK" w:cs="Times New Roman"/>
          <w:sz w:val="32"/>
          <w:szCs w:val="32"/>
        </w:rPr>
        <w:t>2020</w:t>
      </w:r>
      <w:r>
        <w:rPr>
          <w:rFonts w:hint="eastAsia" w:ascii="方正仿宋_GBK" w:hAnsi="仿宋" w:eastAsia="方正仿宋_GBK"/>
          <w:sz w:val="32"/>
          <w:szCs w:val="32"/>
        </w:rPr>
        <w:t>年</w:t>
      </w:r>
      <w:r>
        <w:rPr>
          <w:rFonts w:hint="eastAsia" w:ascii="Times New Roman" w:hAnsi="Times New Roman" w:eastAsia="方正仿宋_GBK" w:cs="Times New Roman"/>
          <w:sz w:val="32"/>
          <w:szCs w:val="32"/>
        </w:rPr>
        <w:t>桥梁定期检查结果复核认定和2021年桥梁定期检查工作，完成134公里国道非优路段整治；二是加快推进国省干线公路养护工程。全年完成养护工程54.9公里，完成设计批复27.8公里；三是加强养护项目计划申报。全市67.92公里养护工程、12座农村公路危桥纳入2022年项目规划库；四是全面落实养护环保相关要求。定期开展环保巡查，指导各县（区）公路养护部门落实环保工作相关要求。</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ascii="方正仿宋_GBK" w:hAnsi="仿宋" w:eastAsia="方正仿宋_GBK"/>
          <w:b/>
          <w:bCs/>
          <w:sz w:val="32"/>
          <w:szCs w:val="32"/>
        </w:rPr>
        <w:t>.全面开展农村公路品质提升。</w:t>
      </w:r>
      <w:r>
        <w:rPr>
          <w:rFonts w:hint="eastAsia" w:ascii="方正仿宋_GBK" w:hAnsi="仿宋" w:eastAsia="方正仿宋_GBK"/>
          <w:sz w:val="32"/>
          <w:szCs w:val="32"/>
        </w:rPr>
        <w:t>一是加快推进项目建设。农村公路品质提升三年行动已实现开工项目</w:t>
      </w:r>
      <w:r>
        <w:rPr>
          <w:rFonts w:hint="default" w:ascii="Times New Roman" w:hAnsi="Times New Roman" w:eastAsia="方正仿宋_GBK" w:cs="Times New Roman"/>
          <w:sz w:val="32"/>
          <w:szCs w:val="32"/>
        </w:rPr>
        <w:t>91</w:t>
      </w:r>
      <w:r>
        <w:rPr>
          <w:rFonts w:hint="eastAsia" w:ascii="方正仿宋_GBK" w:hAnsi="仿宋" w:eastAsia="方正仿宋_GBK"/>
          <w:sz w:val="32"/>
          <w:szCs w:val="32"/>
        </w:rPr>
        <w:t>个共</w:t>
      </w:r>
      <w:r>
        <w:rPr>
          <w:rFonts w:hint="eastAsia" w:ascii="Times New Roman" w:hAnsi="Times New Roman" w:eastAsia="方正仿宋_GBK" w:cs="Times New Roman"/>
          <w:sz w:val="32"/>
          <w:szCs w:val="32"/>
        </w:rPr>
        <w:t>计313.1公里，完工44.7公里，完成投资约6.25亿元。新改建农村公路114.4公里，完成产业旅游路工程项目3个共27.1公里；二是加强政策制定。先后印发《资阳市深化农村公路管理养护体制改革推进方案》《资阳市全域“四好农村路”示范市创建方案》《资阳市提升农村交通运输服务水平工作方案》；三是全面推进农村公路管养体制改革。全市11450公里农村公路已全部纳入养护范围，971座农村公路桥梁全部纳入县级公路管理机构养护。</w:t>
      </w:r>
    </w:p>
    <w:p>
      <w:pPr>
        <w:spacing w:line="560" w:lineRule="exact"/>
        <w:ind w:firstLine="642" w:firstLineChars="200"/>
        <w:rPr>
          <w:rFonts w:hint="eastAsia" w:ascii="方正仿宋_GBK" w:hAnsi="仿宋" w:eastAsia="方正仿宋_GBK"/>
          <w:sz w:val="32"/>
          <w:szCs w:val="32"/>
          <w:lang w:val="en" w:eastAsia="zh-CN"/>
        </w:rPr>
      </w:pPr>
      <w:r>
        <w:rPr>
          <w:rFonts w:hint="eastAsia" w:ascii="方正仿宋_GBK" w:hAnsi="仿宋" w:eastAsia="方正仿宋_GBK"/>
          <w:b/>
          <w:bCs/>
          <w:sz w:val="32"/>
          <w:szCs w:val="32"/>
        </w:rPr>
        <w:t>3.狠抓行业安全防控。</w:t>
      </w:r>
      <w:r>
        <w:rPr>
          <w:rFonts w:hint="eastAsia" w:ascii="方正仿宋_GBK" w:hAnsi="仿宋" w:eastAsia="方正仿宋_GBK"/>
          <w:sz w:val="32"/>
          <w:szCs w:val="32"/>
        </w:rPr>
        <w:t>一是全面开展普通公路养护安全督导；二是深入开展公路安全生产三年整治专项行动和各种专项活动；三是严格落实疫情防控相关要求；四是持续完善值守制度和应急预案全力作好公路应急救援抢通保通工作</w:t>
      </w:r>
      <w:r>
        <w:rPr>
          <w:rFonts w:hint="eastAsia" w:ascii="方正仿宋_GBK" w:hAnsi="仿宋" w:eastAsia="方正仿宋_GBK"/>
          <w:sz w:val="32"/>
          <w:szCs w:val="32"/>
          <w:lang w:eastAsia="zh-CN"/>
        </w:rPr>
        <w:t>。</w:t>
      </w:r>
    </w:p>
    <w:p>
      <w:pPr>
        <w:pStyle w:val="4"/>
        <w:spacing w:before="0" w:after="0" w:line="560" w:lineRule="exact"/>
        <w:ind w:firstLine="640" w:firstLineChars="200"/>
        <w:rPr>
          <w:rStyle w:val="14"/>
          <w:rFonts w:ascii="方正黑体简体" w:eastAsia="方正黑体简体"/>
          <w:b w:val="0"/>
          <w:bCs w:val="0"/>
        </w:rPr>
      </w:pPr>
      <w:bookmarkStart w:id="20" w:name="_Toc15396601"/>
      <w:bookmarkStart w:id="21" w:name="_Toc15377200"/>
      <w:r>
        <w:rPr>
          <w:rFonts w:hint="eastAsia" w:ascii="方正黑体简体" w:hAnsi="Times New Roman" w:eastAsia="方正黑体简体"/>
          <w:b w:val="0"/>
          <w:color w:val="000000"/>
        </w:rPr>
        <w:t>二、机</w:t>
      </w:r>
      <w:r>
        <w:rPr>
          <w:rStyle w:val="14"/>
          <w:rFonts w:hint="eastAsia" w:ascii="方正黑体简体" w:eastAsia="方正黑体简体"/>
          <w:b w:val="0"/>
          <w:bCs w:val="0"/>
        </w:rPr>
        <w:t>构设置</w:t>
      </w:r>
      <w:bookmarkEnd w:id="20"/>
      <w:bookmarkEnd w:id="21"/>
    </w:p>
    <w:p>
      <w:pPr>
        <w:spacing w:line="560" w:lineRule="exact"/>
        <w:ind w:firstLine="640" w:firstLineChars="200"/>
        <w:rPr>
          <w:rFonts w:hint="eastAsia" w:ascii="Times New Roman" w:hAnsi="Times New Roman" w:eastAsia="方正仿宋_GBK" w:cs="Times New Roman"/>
          <w:sz w:val="32"/>
          <w:szCs w:val="32"/>
        </w:rPr>
      </w:pPr>
      <w:r>
        <w:rPr>
          <w:rFonts w:hint="eastAsia" w:ascii="方正仿宋_GBK" w:eastAsia="方正仿宋_GBK"/>
          <w:sz w:val="32"/>
          <w:szCs w:val="32"/>
        </w:rPr>
        <w:t>资阳市公路事业发展中心属资阳市交通运输局下属二级预算单位，下设独立编制机构</w:t>
      </w:r>
      <w:r>
        <w:rPr>
          <w:rFonts w:hint="default" w:ascii="Times New Roman" w:hAnsi="Times New Roman" w:eastAsia="方正仿宋_GBK" w:cs="Times New Roman"/>
          <w:sz w:val="32"/>
          <w:szCs w:val="32"/>
        </w:rPr>
        <w:t>1</w:t>
      </w:r>
      <w:r>
        <w:rPr>
          <w:rFonts w:hint="eastAsia" w:ascii="方正仿宋_GBK" w:eastAsia="方正仿宋_GBK"/>
          <w:sz w:val="32"/>
          <w:szCs w:val="32"/>
        </w:rPr>
        <w:t>个，</w:t>
      </w:r>
      <w:r>
        <w:rPr>
          <w:rFonts w:hint="eastAsia" w:ascii="Times New Roman" w:hAnsi="Times New Roman" w:eastAsia="方正仿宋_GBK" w:cs="Times New Roman"/>
          <w:sz w:val="32"/>
          <w:szCs w:val="32"/>
        </w:rPr>
        <w:t>其中行政机构0个，参照公务员法管理的事业机构</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个，其他事业机构0个。纳入2021年度部门决算编制范围的独立编制机构包括：</w:t>
      </w:r>
    </w:p>
    <w:p>
      <w:pPr>
        <w:pStyle w:val="2"/>
        <w:adjustRightInd w:val="0"/>
        <w:snapToGrid w:val="0"/>
        <w:spacing w:beforeLines="0" w:line="560" w:lineRule="exact"/>
        <w:ind w:firstLine="480" w:firstLineChars="150"/>
        <w:rPr>
          <w:rFonts w:hint="eastAsia" w:ascii="方正仿宋_GBK" w:eastAsia="方正仿宋_GBK"/>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eastAsia="方正仿宋_GBK"/>
          <w:color w:val="000000"/>
          <w:sz w:val="32"/>
          <w:szCs w:val="32"/>
        </w:rPr>
        <w:t>.资阳市公路事业发展中心</w:t>
      </w:r>
      <w:bookmarkStart w:id="22" w:name="_Toc15377204"/>
      <w:bookmarkStart w:id="23" w:name="_Toc15396602"/>
      <w:r>
        <w:rPr>
          <w:rFonts w:hint="eastAsia" w:ascii="方正仿宋_GBK" w:eastAsia="方正仿宋_GBK"/>
          <w:color w:val="000000"/>
          <w:sz w:val="32"/>
          <w:szCs w:val="32"/>
        </w:rPr>
        <w:t>。</w:t>
      </w:r>
    </w:p>
    <w:p>
      <w:pPr>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rPr>
          <w:rFonts w:hint="eastAsia"/>
        </w:rPr>
      </w:pPr>
    </w:p>
    <w:p>
      <w:pPr>
        <w:pStyle w:val="3"/>
        <w:spacing w:before="0" w:after="0" w:line="560" w:lineRule="exact"/>
        <w:ind w:right="1720" w:firstLine="720"/>
        <w:jc w:val="center"/>
        <w:rPr>
          <w:rFonts w:hint="eastAsia"/>
        </w:rPr>
      </w:pPr>
      <w:r>
        <w:rPr>
          <w:rFonts w:hint="eastAsia" w:ascii="方正小标宋简体" w:eastAsia="方正小标宋简体"/>
          <w:b w:val="0"/>
          <w:bCs w:val="0"/>
          <w:color w:val="000000"/>
          <w:sz w:val="36"/>
          <w:szCs w:val="36"/>
        </w:rPr>
        <w:t>第二部分</w:t>
      </w:r>
      <w:r>
        <w:rPr>
          <w:rStyle w:val="13"/>
          <w:rFonts w:hint="eastAsia" w:ascii="方正小标宋简体" w:eastAsia="方正小标宋简体"/>
          <w:b w:val="0"/>
          <w:bCs w:val="0"/>
          <w:sz w:val="36"/>
          <w:szCs w:val="36"/>
        </w:rPr>
        <w:t>2021年度单位决算情况说明</w:t>
      </w:r>
      <w:bookmarkEnd w:id="22"/>
      <w:bookmarkEnd w:id="23"/>
    </w:p>
    <w:p>
      <w:pPr>
        <w:rPr>
          <w:b/>
        </w:rPr>
      </w:pPr>
    </w:p>
    <w:p>
      <w:pPr>
        <w:pStyle w:val="19"/>
        <w:numPr>
          <w:ilvl w:val="0"/>
          <w:numId w:val="0"/>
        </w:numPr>
        <w:spacing w:line="560" w:lineRule="exact"/>
        <w:ind w:left="640" w:leftChars="0"/>
        <w:outlineLvl w:val="1"/>
        <w:rPr>
          <w:rStyle w:val="14"/>
          <w:rFonts w:ascii="方正黑体简体" w:eastAsia="方正黑体简体"/>
          <w:b w:val="0"/>
          <w:bCs w:val="0"/>
        </w:rPr>
      </w:pPr>
      <w:bookmarkStart w:id="24" w:name="_Toc15377205"/>
      <w:bookmarkStart w:id="25" w:name="_Toc15396603"/>
      <w:r>
        <w:rPr>
          <w:rStyle w:val="14"/>
          <w:rFonts w:hint="eastAsia" w:ascii="方正黑体简体" w:eastAsia="方正黑体简体"/>
          <w:b w:val="0"/>
          <w:bCs w:val="0"/>
          <w:lang w:eastAsia="zh-CN"/>
        </w:rPr>
        <w:t>一、</w:t>
      </w:r>
      <w:r>
        <w:rPr>
          <w:rStyle w:val="14"/>
          <w:rFonts w:hint="eastAsia" w:ascii="方正黑体简体" w:eastAsia="方正黑体简体"/>
          <w:b w:val="0"/>
          <w:bCs w:val="0"/>
        </w:rPr>
        <w:t>收入支出决算总体情况说明</w:t>
      </w:r>
      <w:bookmarkEnd w:id="24"/>
      <w:bookmarkEnd w:id="25"/>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年度</w:t>
      </w:r>
      <w:r>
        <w:rPr>
          <w:rFonts w:hint="eastAsia" w:ascii="Times New Roman" w:hAnsi="Times New Roman" w:eastAsia="方正仿宋_GBK" w:cs="Times New Roman"/>
          <w:color w:val="000000"/>
          <w:sz w:val="32"/>
          <w:szCs w:val="32"/>
        </w:rPr>
        <w:t>收入总计为758.84万元、支出总计758.84万元。与2020年相比，收入减少263.76万元、下降25.8%；支出总计减少263.76万元，下降25.8%。主要变动原因是人员减少，发展类项目减少。</w:t>
      </w:r>
    </w:p>
    <w:p>
      <w:pPr>
        <w:pStyle w:val="2"/>
        <w:spacing w:before="93"/>
      </w:pPr>
      <w:r>
        <w:drawing>
          <wp:inline distT="0" distB="0" distL="0" distR="0">
            <wp:extent cx="5334000" cy="2496820"/>
            <wp:effectExtent l="0" t="0" r="0" b="0"/>
            <wp:docPr id="2"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9"/>
        <w:numPr>
          <w:ilvl w:val="0"/>
          <w:numId w:val="0"/>
        </w:numPr>
        <w:spacing w:line="560" w:lineRule="exact"/>
        <w:ind w:left="640" w:leftChars="0"/>
        <w:outlineLvl w:val="1"/>
        <w:rPr>
          <w:rStyle w:val="14"/>
          <w:rFonts w:ascii="方正黑体简体" w:eastAsia="方正黑体简体"/>
        </w:rPr>
      </w:pPr>
      <w:bookmarkStart w:id="26" w:name="_Toc15377206"/>
      <w:bookmarkStart w:id="27" w:name="_Toc15396604"/>
      <w:r>
        <w:rPr>
          <w:rStyle w:val="14"/>
          <w:rFonts w:hint="eastAsia" w:ascii="方正黑体简体" w:eastAsia="方正黑体简体"/>
          <w:b w:val="0"/>
          <w:bCs w:val="0"/>
          <w:lang w:eastAsia="zh-CN"/>
        </w:rPr>
        <w:t>二、</w:t>
      </w:r>
      <w:r>
        <w:rPr>
          <w:rStyle w:val="14"/>
          <w:rFonts w:hint="eastAsia" w:ascii="方正黑体简体" w:eastAsia="方正黑体简体"/>
          <w:b w:val="0"/>
          <w:bCs w:val="0"/>
        </w:rPr>
        <w:t>收入决算情况说明</w:t>
      </w:r>
      <w:bookmarkEnd w:id="26"/>
      <w:bookmarkEnd w:id="27"/>
    </w:p>
    <w:p>
      <w:pPr>
        <w:spacing w:line="560" w:lineRule="exact"/>
        <w:ind w:firstLine="640" w:firstLineChars="200"/>
        <w:outlineLvl w:val="1"/>
        <w:rPr>
          <w:rFonts w:hint="eastAsia"/>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年本</w:t>
      </w:r>
      <w:r>
        <w:rPr>
          <w:rFonts w:hint="eastAsia" w:ascii="Times New Roman" w:hAnsi="Times New Roman" w:eastAsia="方正仿宋_GBK" w:cs="Times New Roman"/>
          <w:color w:val="000000"/>
          <w:sz w:val="32"/>
          <w:szCs w:val="32"/>
        </w:rPr>
        <w:t>年收入合计754.26万元，其中：一般公共预算财政拨款收入754.26万元，占100.0%。</w:t>
      </w:r>
    </w:p>
    <w:p>
      <w:pPr>
        <w:pStyle w:val="2"/>
        <w:spacing w:before="93"/>
      </w:pPr>
      <w:r>
        <w:drawing>
          <wp:inline distT="0" distB="0" distL="0" distR="0">
            <wp:extent cx="4805045" cy="2543810"/>
            <wp:effectExtent l="4445" t="5080" r="10160"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pStyle w:val="19"/>
        <w:numPr>
          <w:ilvl w:val="0"/>
          <w:numId w:val="0"/>
        </w:numPr>
        <w:spacing w:line="600" w:lineRule="exact"/>
        <w:ind w:left="640" w:leftChars="0"/>
        <w:outlineLvl w:val="1"/>
        <w:rPr>
          <w:rStyle w:val="14"/>
          <w:rFonts w:ascii="方正黑体简体" w:eastAsia="方正黑体简体"/>
          <w:b w:val="0"/>
          <w:bCs w:val="0"/>
        </w:rPr>
      </w:pPr>
      <w:bookmarkStart w:id="28" w:name="_Toc15377207"/>
      <w:bookmarkStart w:id="29" w:name="_Toc15396605"/>
      <w:r>
        <w:rPr>
          <w:rStyle w:val="14"/>
          <w:rFonts w:hint="eastAsia" w:ascii="方正黑体简体" w:eastAsia="方正黑体简体"/>
          <w:b w:val="0"/>
          <w:bCs w:val="0"/>
          <w:lang w:eastAsia="zh-CN"/>
        </w:rPr>
        <w:t>三、</w:t>
      </w:r>
      <w:r>
        <w:rPr>
          <w:rStyle w:val="14"/>
          <w:rFonts w:hint="eastAsia" w:ascii="方正黑体简体" w:eastAsia="方正黑体简体"/>
          <w:b w:val="0"/>
          <w:bCs w:val="0"/>
        </w:rPr>
        <w:t>支出决算情况说明</w:t>
      </w:r>
      <w:bookmarkEnd w:id="28"/>
      <w:bookmarkEnd w:id="29"/>
    </w:p>
    <w:p>
      <w:pPr>
        <w:spacing w:line="600" w:lineRule="exact"/>
        <w:ind w:firstLine="640" w:firstLineChars="200"/>
        <w:outlineLvl w:val="1"/>
        <w:rPr>
          <w:rFonts w:eastAsia="仿宋"/>
          <w:color w:val="000000"/>
          <w:sz w:val="32"/>
          <w:szCs w:val="32"/>
        </w:rPr>
      </w:pPr>
      <w:r>
        <w:rPr>
          <w:rFonts w:hint="eastAsia" w:eastAsia="仿宋"/>
          <w:color w:val="000000"/>
          <w:sz w:val="32"/>
          <w:szCs w:val="32"/>
        </w:rPr>
        <w:t>2021年</w:t>
      </w:r>
      <w:r>
        <w:rPr>
          <w:rFonts w:eastAsia="仿宋"/>
          <w:color w:val="000000"/>
          <w:sz w:val="32"/>
          <w:szCs w:val="32"/>
        </w:rPr>
        <w:t>本年支出合计</w:t>
      </w:r>
      <w:r>
        <w:rPr>
          <w:rFonts w:hint="eastAsia" w:eastAsia="仿宋"/>
          <w:color w:val="000000"/>
          <w:sz w:val="32"/>
          <w:szCs w:val="32"/>
        </w:rPr>
        <w:t>758.84</w:t>
      </w:r>
      <w:r>
        <w:rPr>
          <w:rFonts w:eastAsia="仿宋"/>
          <w:color w:val="000000"/>
          <w:sz w:val="32"/>
          <w:szCs w:val="32"/>
        </w:rPr>
        <w:t>万元，其中：基本支出</w:t>
      </w:r>
      <w:r>
        <w:rPr>
          <w:rFonts w:hint="eastAsia" w:eastAsia="仿宋"/>
          <w:color w:val="000000"/>
          <w:sz w:val="32"/>
          <w:szCs w:val="32"/>
        </w:rPr>
        <w:t>665.15</w:t>
      </w:r>
      <w:r>
        <w:rPr>
          <w:rFonts w:eastAsia="仿宋"/>
          <w:color w:val="000000"/>
          <w:sz w:val="32"/>
          <w:szCs w:val="32"/>
        </w:rPr>
        <w:t>万元，占</w:t>
      </w:r>
      <w:r>
        <w:rPr>
          <w:rFonts w:hint="eastAsia" w:eastAsia="仿宋"/>
          <w:color w:val="000000"/>
          <w:sz w:val="32"/>
          <w:szCs w:val="32"/>
        </w:rPr>
        <w:t>87.7</w:t>
      </w:r>
      <w:r>
        <w:rPr>
          <w:rFonts w:eastAsia="仿宋"/>
          <w:color w:val="000000"/>
          <w:sz w:val="32"/>
          <w:szCs w:val="32"/>
        </w:rPr>
        <w:t>%；项目支出</w:t>
      </w:r>
      <w:r>
        <w:rPr>
          <w:rFonts w:hint="eastAsia" w:eastAsia="仿宋"/>
          <w:color w:val="000000"/>
          <w:sz w:val="32"/>
          <w:szCs w:val="32"/>
        </w:rPr>
        <w:t>93.69</w:t>
      </w:r>
      <w:r>
        <w:rPr>
          <w:rFonts w:eastAsia="仿宋"/>
          <w:color w:val="000000"/>
          <w:sz w:val="32"/>
          <w:szCs w:val="32"/>
        </w:rPr>
        <w:t>万元，占</w:t>
      </w:r>
      <w:r>
        <w:rPr>
          <w:rFonts w:hint="eastAsia" w:eastAsia="仿宋"/>
          <w:color w:val="000000"/>
          <w:sz w:val="32"/>
          <w:szCs w:val="32"/>
        </w:rPr>
        <w:t>12.3</w:t>
      </w:r>
      <w:r>
        <w:rPr>
          <w:rFonts w:eastAsia="仿宋"/>
          <w:color w:val="000000"/>
          <w:sz w:val="32"/>
          <w:szCs w:val="32"/>
        </w:rPr>
        <w:t>%。</w:t>
      </w:r>
    </w:p>
    <w:p>
      <w:pPr>
        <w:pStyle w:val="2"/>
      </w:pPr>
    </w:p>
    <w:p>
      <w:pPr>
        <w:pStyle w:val="2"/>
        <w:spacing w:before="93"/>
      </w:pPr>
      <w:r>
        <w:drawing>
          <wp:inline distT="0" distB="0" distL="0" distR="0">
            <wp:extent cx="4605655" cy="2505710"/>
            <wp:effectExtent l="4445" t="4445" r="19050" b="2349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93"/>
      </w:pPr>
    </w:p>
    <w:p>
      <w:pPr>
        <w:spacing w:line="560" w:lineRule="exact"/>
        <w:ind w:firstLine="640" w:firstLineChars="200"/>
        <w:outlineLvl w:val="1"/>
        <w:rPr>
          <w:rStyle w:val="14"/>
          <w:rFonts w:ascii="方正黑体简体" w:eastAsia="方正黑体简体"/>
        </w:rPr>
      </w:pPr>
      <w:bookmarkStart w:id="30" w:name="_Toc15396606"/>
      <w:bookmarkStart w:id="31" w:name="_Toc15377208"/>
      <w:r>
        <w:rPr>
          <w:rStyle w:val="14"/>
          <w:rFonts w:hint="eastAsia" w:ascii="方正黑体简体" w:eastAsia="方正黑体简体"/>
          <w:b w:val="0"/>
          <w:bCs w:val="0"/>
        </w:rPr>
        <w:t>四、财政拨款收入支出决算总体情况说明</w:t>
      </w:r>
      <w:bookmarkEnd w:id="30"/>
      <w:bookmarkEnd w:id="31"/>
    </w:p>
    <w:p>
      <w:pPr>
        <w:spacing w:line="560" w:lineRule="exact"/>
        <w:ind w:firstLine="640"/>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w:t>
      </w:r>
      <w:r>
        <w:rPr>
          <w:rFonts w:hint="eastAsia" w:ascii="Times New Roman" w:hAnsi="Times New Roman" w:eastAsia="方正仿宋_GBK" w:cs="Times New Roman"/>
          <w:color w:val="000000"/>
          <w:sz w:val="32"/>
          <w:szCs w:val="32"/>
        </w:rPr>
        <w:t>财政拨款收入总计为758.84万元、支出总计758.84万元。与2020年相比，财政拨款收入减少263.76万元下降25.8%、支总计各减少263.76万元，下降25.8%。主要变动原因是人员减少，发展类项目减少。</w:t>
      </w:r>
    </w:p>
    <w:p>
      <w:pPr>
        <w:pStyle w:val="2"/>
        <w:spacing w:before="93"/>
      </w:pPr>
      <w:r>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0" w:firstLineChars="200"/>
        <w:outlineLvl w:val="2"/>
        <w:rPr>
          <w:rFonts w:hint="eastAsia" w:ascii="方正黑体_GBK" w:hAnsi="方正黑体_GBK" w:eastAsia="方正黑体_GBK" w:cs="方正黑体_GBK"/>
          <w:b w:val="0"/>
          <w:bCs/>
          <w:color w:val="000000"/>
          <w:sz w:val="32"/>
          <w:szCs w:val="32"/>
        </w:rPr>
      </w:pPr>
      <w:bookmarkStart w:id="32" w:name="_Toc15396607"/>
      <w:bookmarkStart w:id="33" w:name="_Toc15377209"/>
      <w:r>
        <w:rPr>
          <w:rFonts w:hint="eastAsia" w:ascii="方正黑体_GBK" w:hAnsi="方正黑体_GBK" w:eastAsia="方正黑体_GBK" w:cs="方正黑体_GBK"/>
          <w:b w:val="0"/>
          <w:bCs/>
          <w:color w:val="000000"/>
          <w:sz w:val="32"/>
          <w:szCs w:val="32"/>
        </w:rPr>
        <w:t>五、一般公共预算财政拨款支出决算情况说明</w:t>
      </w:r>
      <w:bookmarkEnd w:id="32"/>
      <w:bookmarkEnd w:id="33"/>
    </w:p>
    <w:p>
      <w:pPr>
        <w:spacing w:line="560" w:lineRule="exact"/>
        <w:ind w:firstLine="642" w:firstLineChars="200"/>
        <w:outlineLvl w:val="2"/>
        <w:rPr>
          <w:rFonts w:hint="eastAsia" w:ascii="方正楷体_GBK" w:hAnsi="方正楷体_GBK" w:eastAsia="方正楷体_GBK" w:cs="方正楷体_GBK"/>
          <w:b/>
          <w:color w:val="000000"/>
          <w:sz w:val="32"/>
          <w:szCs w:val="32"/>
        </w:rPr>
      </w:pPr>
      <w:bookmarkStart w:id="34" w:name="_Toc15377210"/>
      <w:r>
        <w:rPr>
          <w:rFonts w:hint="eastAsia" w:ascii="方正楷体_GBK" w:hAnsi="方正楷体_GBK" w:eastAsia="方正楷体_GBK" w:cs="方正楷体_GBK"/>
          <w:b/>
          <w:color w:val="000000"/>
          <w:sz w:val="32"/>
          <w:szCs w:val="32"/>
        </w:rPr>
        <w:t>（一）一般公共预算财政拨款支出决算总体情况</w:t>
      </w:r>
      <w:bookmarkEnd w:id="34"/>
    </w:p>
    <w:p>
      <w:pPr>
        <w:spacing w:line="560" w:lineRule="exact"/>
        <w:ind w:firstLine="640" w:firstLineChars="200"/>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年一</w:t>
      </w:r>
      <w:r>
        <w:rPr>
          <w:rFonts w:hint="eastAsia" w:ascii="Times New Roman" w:hAnsi="Times New Roman" w:eastAsia="方正仿宋_GBK" w:cs="Times New Roman"/>
          <w:color w:val="000000"/>
          <w:sz w:val="32"/>
          <w:szCs w:val="32"/>
        </w:rPr>
        <w:t>般公共预算财政拨款支出754.26万元，占本年支出合计的100.0%。与2020年相比，一般公共预算财政拨款减少263.76万元，下降25.9%。主要变动原因是人员减少，发展类项目减少。</w:t>
      </w:r>
    </w:p>
    <w:p>
      <w:pPr>
        <w:pStyle w:val="2"/>
        <w:spacing w:before="93"/>
      </w:pPr>
    </w:p>
    <w:p>
      <w:pPr>
        <w:pStyle w:val="2"/>
        <w:spacing w:before="93"/>
      </w:pPr>
      <w:r>
        <w:rPr>
          <w:rFonts w:hint="eastAsia"/>
        </w:rPr>
        <w:drawing>
          <wp:inline distT="0" distB="0" distL="0" distR="0">
            <wp:extent cx="4986655" cy="2689225"/>
            <wp:effectExtent l="19050" t="0" r="23127"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pacing w:before="93"/>
        <w:rPr>
          <w:rFonts w:hint="eastAsia"/>
        </w:rPr>
      </w:pPr>
    </w:p>
    <w:p>
      <w:pPr>
        <w:pStyle w:val="2"/>
        <w:spacing w:before="93"/>
      </w:pPr>
    </w:p>
    <w:p>
      <w:pPr>
        <w:spacing w:line="560" w:lineRule="exact"/>
        <w:ind w:firstLine="642" w:firstLineChars="200"/>
        <w:outlineLvl w:val="2"/>
        <w:rPr>
          <w:rFonts w:hint="eastAsia" w:ascii="方正楷体_GBK" w:hAnsi="方正楷体_GBK" w:eastAsia="方正楷体_GBK" w:cs="方正楷体_GBK"/>
          <w:b/>
          <w:color w:val="000000"/>
          <w:sz w:val="32"/>
          <w:szCs w:val="32"/>
        </w:rPr>
      </w:pPr>
      <w:bookmarkStart w:id="35" w:name="_Toc15377211"/>
      <w:r>
        <w:rPr>
          <w:rFonts w:hint="eastAsia" w:ascii="方正楷体_GBK" w:hAnsi="方正楷体_GBK" w:eastAsia="方正楷体_GBK" w:cs="方正楷体_GBK"/>
          <w:b/>
          <w:color w:val="000000"/>
          <w:sz w:val="32"/>
          <w:szCs w:val="32"/>
        </w:rPr>
        <w:t>（二）一般公共预算财政拨款支出决算结构情况</w:t>
      </w:r>
      <w:bookmarkEnd w:id="35"/>
    </w:p>
    <w:p>
      <w:pPr>
        <w:spacing w:line="560" w:lineRule="exact"/>
        <w:ind w:firstLine="640"/>
        <w:rPr>
          <w:rFonts w:hint="eastAsia"/>
        </w:rPr>
      </w:pPr>
      <w:bookmarkStart w:id="36" w:name="_Toc15377212"/>
      <w:r>
        <w:rPr>
          <w:rFonts w:hint="default" w:ascii="Times New Roman" w:hAnsi="Times New Roman" w:eastAsia="方正仿宋_GBK" w:cs="Times New Roman"/>
          <w:sz w:val="32"/>
          <w:szCs w:val="32"/>
        </w:rPr>
        <w:t>2021</w:t>
      </w:r>
      <w:r>
        <w:rPr>
          <w:rFonts w:hint="eastAsia" w:ascii="方正仿宋_GBK" w:hAnsi="仿宋" w:eastAsia="方正仿宋_GBK"/>
          <w:sz w:val="32"/>
          <w:szCs w:val="32"/>
        </w:rPr>
        <w:t>年</w:t>
      </w:r>
      <w:r>
        <w:rPr>
          <w:rFonts w:hint="eastAsia" w:ascii="Times New Roman" w:hAnsi="Times New Roman" w:eastAsia="方正仿宋_GBK" w:cs="Times New Roman"/>
          <w:sz w:val="32"/>
          <w:szCs w:val="32"/>
        </w:rPr>
        <w:t>一般公共预算财政拨款支出758.84万元，主要用于以下方面:一般公共服务（类）支出0.09万元，占0.0%；社会保障和就业（类）支出42.48万元，占5.6%；卫生健康支出（类）18.72万元，占2.5%；交通运输支出658.72万元，占86.8%；住房保障支出（类）38.33万元，占5.0%；农林水支出0.5万元，占0.1%。</w:t>
      </w:r>
    </w:p>
    <w:p>
      <w:pPr>
        <w:pStyle w:val="2"/>
        <w:spacing w:before="93"/>
      </w:pPr>
      <w:r>
        <w:rPr>
          <w:rFonts w:hint="eastAsia"/>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2" w:firstLineChars="200"/>
        <w:outlineLvl w:val="2"/>
        <w:rPr>
          <w:rFonts w:hint="eastAsia"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（三）一般公共预算财政拨款支出决算具体情况</w:t>
      </w:r>
      <w:bookmarkEnd w:id="36"/>
    </w:p>
    <w:p>
      <w:pPr>
        <w:spacing w:line="560" w:lineRule="exact"/>
        <w:ind w:firstLine="640" w:firstLineChars="200"/>
        <w:outlineLvl w:val="2"/>
        <w:rPr>
          <w:rFonts w:hint="default" w:ascii="Times New Roman" w:hAnsi="Times New Roman" w:eastAsia="方正仿宋_GBK" w:cs="Times New Roman"/>
          <w:kern w:val="0"/>
          <w:sz w:val="32"/>
          <w:szCs w:val="32"/>
        </w:rPr>
      </w:pPr>
      <w:bookmarkStart w:id="37" w:name="_Toc15377213"/>
      <w:bookmarkStart w:id="38" w:name="_Toc15378460"/>
      <w:bookmarkStart w:id="39" w:name="_Toc15377444"/>
      <w:r>
        <w:rPr>
          <w:rFonts w:hint="default" w:ascii="Times New Roman" w:hAnsi="Times New Roman" w:eastAsia="方正仿宋_GBK" w:cs="Times New Roman"/>
          <w:kern w:val="0"/>
          <w:sz w:val="32"/>
          <w:szCs w:val="32"/>
        </w:rPr>
        <w:t>2021</w:t>
      </w:r>
      <w:r>
        <w:rPr>
          <w:rFonts w:hint="eastAsia" w:ascii="方正仿宋_GBK" w:eastAsia="方正仿宋_GBK"/>
          <w:kern w:val="0"/>
          <w:sz w:val="32"/>
          <w:szCs w:val="32"/>
        </w:rPr>
        <w:t>年</w:t>
      </w:r>
      <w:r>
        <w:rPr>
          <w:rFonts w:hint="eastAsia" w:ascii="Times New Roman" w:hAnsi="Times New Roman" w:eastAsia="方正仿宋_GBK" w:cs="Times New Roman"/>
          <w:kern w:val="0"/>
          <w:sz w:val="32"/>
          <w:szCs w:val="32"/>
        </w:rPr>
        <w:t>一般公共预算支出决算数为758.84，完成预算100.0%。其中：</w:t>
      </w:r>
      <w:bookmarkEnd w:id="37"/>
      <w:bookmarkEnd w:id="38"/>
      <w:bookmarkEnd w:id="39"/>
    </w:p>
    <w:p>
      <w:pPr>
        <w:spacing w:line="560" w:lineRule="exact"/>
        <w:ind w:firstLine="640" w:firstLineChars="200"/>
        <w:outlineLvl w:val="2"/>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1.一般公共服务（类）政府办公厅（室）及相关机构事务（款）其他政府办公厅（室）及相关机构事务支出（项）: 支出决算为0.09万元，完成预算100.0%</w:t>
      </w:r>
      <w:r>
        <w:rPr>
          <w:rFonts w:hint="eastAsia" w:eastAsia="方正仿宋_GBK" w:cs="Times New Roman"/>
          <w:kern w:val="0"/>
          <w:sz w:val="32"/>
          <w:szCs w:val="32"/>
          <w:lang w:eastAsia="zh-CN"/>
        </w:rPr>
        <w:t>。</w:t>
      </w:r>
    </w:p>
    <w:p>
      <w:pPr>
        <w:spacing w:line="560" w:lineRule="exact"/>
        <w:ind w:firstLine="640" w:firstLineChars="200"/>
        <w:rPr>
          <w:rFonts w:ascii="方正仿宋_GBK" w:eastAsia="方正仿宋_GBK"/>
          <w:sz w:val="32"/>
          <w:szCs w:val="32"/>
        </w:rPr>
      </w:pPr>
      <w:r>
        <w:rPr>
          <w:rFonts w:hint="default" w:ascii="Times New Roman" w:hAnsi="Times New Roman" w:eastAsia="方正仿宋_GBK" w:cs="Times New Roman"/>
          <w:sz w:val="32"/>
          <w:szCs w:val="32"/>
        </w:rPr>
        <w:t>2</w:t>
      </w:r>
      <w:r>
        <w:rPr>
          <w:rFonts w:hint="eastAsia" w:ascii="方正仿宋_GBK" w:eastAsia="方正仿宋_GBK"/>
          <w:sz w:val="32"/>
          <w:szCs w:val="32"/>
        </w:rPr>
        <w:t>.</w:t>
      </w:r>
      <w:r>
        <w:rPr>
          <w:rFonts w:hint="eastAsia" w:ascii="Times New Roman" w:hAnsi="Times New Roman" w:eastAsia="方正仿宋_GBK" w:cs="Times New Roman"/>
          <w:sz w:val="32"/>
          <w:szCs w:val="32"/>
        </w:rPr>
        <w:t>社会保障和就业（类）行政事业单位养老支出（款）机关事业单位基本养老保险缴费支出（项）: 支出决算为42.48万元，完成预算100.0%。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方正仿宋_GBK" w:eastAsia="方正仿宋_GBK"/>
          <w:sz w:val="32"/>
          <w:szCs w:val="32"/>
        </w:rPr>
        <w:t>.卫</w:t>
      </w:r>
      <w:r>
        <w:rPr>
          <w:rFonts w:hint="eastAsia" w:ascii="Times New Roman" w:hAnsi="Times New Roman" w:eastAsia="方正仿宋_GBK" w:cs="Times New Roman"/>
          <w:sz w:val="32"/>
          <w:szCs w:val="32"/>
        </w:rPr>
        <w:t>生健康（类）行政事业单位医疗（款）行政单位医疗（项）:支出决算为18.72万元，完成预算100.0%。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4.农林水支出（类）扶贫（款）其他扶贫支出（项）：支出决算为0.5万元，完成预算100.0%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5.交通运输支出（类）公路水路运输（款）行政运行（项）：支出决算为565.12万元，完成预算100.0%。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6.交通运输支出（类）公路水路运输（款）一般行政管理事务（项）：支出决算为15.9万元，完成预算100.0%。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7.交通运输支出（类）公路水路运输（款）公路养护（项）：支出决算为46万元，完成预算100.0%。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8.交通运输支出（类）公路水路运输（款）公路和运输安全（项）：支出决算为4.5万元，完成调整预算100.0%。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9.交通运输支出（类）公路水路运输（款）公路和运输技术标准化建设（项）：支出决算为6.99万元，完成预算100.0%。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10.交通运输支出（类）公路水路运输（款）其他公路水路运输支出（项）：支出决算为20.21万元，完成预算100.0%。</w:t>
      </w:r>
    </w:p>
    <w:p>
      <w:pPr>
        <w:pStyle w:val="2"/>
        <w:spacing w:before="93"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11.住房保障支出（类）住房改革支出（款）住房公积金（项）:支出决算为：38.33万元，完成预算100.0%。</w:t>
      </w:r>
    </w:p>
    <w:p>
      <w:pPr>
        <w:tabs>
          <w:tab w:val="right" w:pos="8306"/>
        </w:tabs>
        <w:spacing w:line="560" w:lineRule="exact"/>
        <w:ind w:firstLine="640"/>
        <w:outlineLvl w:val="1"/>
        <w:rPr>
          <w:rStyle w:val="14"/>
          <w:rFonts w:ascii="方正黑体简体" w:eastAsia="方正黑体简体"/>
        </w:rPr>
      </w:pPr>
      <w:bookmarkStart w:id="40" w:name="_Toc15377214"/>
      <w:bookmarkStart w:id="41" w:name="_Toc15396608"/>
      <w:r>
        <w:rPr>
          <w:rFonts w:hint="eastAsia" w:ascii="方正黑体_GBK" w:hAnsi="方正黑体_GBK" w:eastAsia="方正黑体_GBK" w:cs="方正黑体_GBK"/>
          <w:color w:val="000000"/>
          <w:sz w:val="32"/>
          <w:szCs w:val="32"/>
        </w:rPr>
        <w:t>六</w:t>
      </w:r>
      <w:r>
        <w:rPr>
          <w:rFonts w:hint="eastAsia" w:ascii="方正黑体_GBK" w:hAnsi="方正黑体_GBK" w:eastAsia="方正黑体_GBK" w:cs="方正黑体_GBK"/>
          <w:b/>
          <w:color w:val="000000"/>
          <w:sz w:val="32"/>
          <w:szCs w:val="32"/>
        </w:rPr>
        <w:t>、一</w:t>
      </w:r>
      <w:r>
        <w:rPr>
          <w:rStyle w:val="14"/>
          <w:rFonts w:hint="eastAsia" w:ascii="方正黑体_GBK" w:hAnsi="方正黑体_GBK" w:eastAsia="方正黑体_GBK" w:cs="方正黑体_GBK"/>
          <w:b w:val="0"/>
        </w:rPr>
        <w:t>般公共预算财政拨款基本支出决算情况说明</w:t>
      </w:r>
      <w:bookmarkEnd w:id="40"/>
      <w:bookmarkEnd w:id="41"/>
      <w:r>
        <w:rPr>
          <w:rStyle w:val="14"/>
          <w:rFonts w:hint="eastAsia" w:ascii="方正黑体简体" w:eastAsia="方正黑体简体"/>
          <w:b w:val="0"/>
        </w:rPr>
        <w:tab/>
      </w:r>
    </w:p>
    <w:p>
      <w:pPr>
        <w:spacing w:line="560" w:lineRule="exact"/>
        <w:ind w:firstLine="64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w:t>
      </w:r>
      <w:r>
        <w:rPr>
          <w:rFonts w:hint="eastAsia" w:ascii="Times New Roman" w:hAnsi="Times New Roman" w:eastAsia="方正仿宋_GBK" w:cs="Times New Roman"/>
          <w:color w:val="000000"/>
          <w:sz w:val="32"/>
          <w:szCs w:val="32"/>
        </w:rPr>
        <w:t>一般公共预算财政拨款基本支出665.15万元，其中：</w:t>
      </w:r>
    </w:p>
    <w:p>
      <w:pPr>
        <w:spacing w:line="560" w:lineRule="exact"/>
        <w:ind w:firstLine="645"/>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人员经费603.83万元，主要包括：基本工资83.8万元、津贴补贴59.29万元、奖金10.83万元、机关事业单位基本养老保险缴费23.68万元、职业年金缴费4.72万元、职工基本医疗保险缴费18.72万元、公务员医疗补助缴费49.47万元、、住房公积金38.33万元、其他工资福利支出179.23万元、生活补助119.62万元、奖励金0.06万元、其他对个人和家庭的补助支出16.08万元。</w:t>
      </w:r>
    </w:p>
    <w:p>
      <w:pPr>
        <w:spacing w:line="560" w:lineRule="exact"/>
        <w:ind w:firstLine="645"/>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公用经费61.32万元，主要包括：办公费9.57万元、手续费0.03万元、水费0.84万元、电费2.65万元、邮电费2.68万元、物业管理费4.30万元、差旅费2.28万元、租赁费0.01万元、会议费0.9万元、培训费1.02万元、工会经费3.94万元、公务用车运行维护费7.32万元、其他交通费16.16万元、其他商品和服务支出9.62万元。</w:t>
      </w:r>
    </w:p>
    <w:p>
      <w:pPr>
        <w:spacing w:line="560" w:lineRule="exact"/>
        <w:ind w:firstLine="640"/>
        <w:outlineLvl w:val="1"/>
        <w:rPr>
          <w:rFonts w:ascii="方正仿宋_GBK" w:eastAsia="方正仿宋_GBK"/>
          <w:b/>
          <w:color w:val="000000"/>
          <w:sz w:val="32"/>
          <w:szCs w:val="32"/>
        </w:rPr>
      </w:pPr>
      <w:bookmarkStart w:id="42" w:name="_Toc15396609"/>
      <w:bookmarkStart w:id="43" w:name="_Toc15377215"/>
      <w:r>
        <w:rPr>
          <w:rFonts w:hint="eastAsia" w:ascii="方正黑体_GBK" w:hAnsi="方正黑体_GBK" w:eastAsia="方正黑体_GBK" w:cs="方正黑体_GBK"/>
          <w:b w:val="0"/>
          <w:bCs/>
          <w:color w:val="000000"/>
          <w:sz w:val="32"/>
          <w:szCs w:val="32"/>
        </w:rPr>
        <w:t>七、“三公”经费财政拨款支出决算情况说明</w:t>
      </w:r>
      <w:bookmarkEnd w:id="42"/>
      <w:bookmarkEnd w:id="43"/>
    </w:p>
    <w:p>
      <w:pPr>
        <w:spacing w:line="560" w:lineRule="exact"/>
        <w:ind w:firstLine="640"/>
        <w:outlineLvl w:val="2"/>
        <w:rPr>
          <w:rFonts w:hint="eastAsia" w:ascii="方正楷体_GBK" w:hAnsi="方正楷体_GBK" w:eastAsia="方正楷体_GBK" w:cs="方正楷体_GBK"/>
          <w:b/>
          <w:bCs w:val="0"/>
          <w:color w:val="000000"/>
          <w:sz w:val="32"/>
          <w:szCs w:val="32"/>
        </w:rPr>
      </w:pPr>
      <w:bookmarkStart w:id="44" w:name="_Toc15377216"/>
      <w:r>
        <w:rPr>
          <w:rFonts w:hint="eastAsia" w:ascii="方正楷体_GBK" w:hAnsi="方正楷体_GBK" w:eastAsia="方正楷体_GBK" w:cs="方正楷体_GBK"/>
          <w:b/>
          <w:bCs w:val="0"/>
          <w:color w:val="000000"/>
          <w:sz w:val="32"/>
          <w:szCs w:val="32"/>
        </w:rPr>
        <w:t>（一）“三公”经费财政拨款支出决算总体情况说明</w:t>
      </w:r>
      <w:bookmarkEnd w:id="44"/>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w:t>
      </w:r>
      <w:r>
        <w:rPr>
          <w:rFonts w:hint="eastAsia" w:ascii="Times New Roman" w:hAnsi="Times New Roman" w:eastAsia="方正仿宋_GBK" w:cs="Times New Roman"/>
          <w:color w:val="000000"/>
          <w:sz w:val="32"/>
          <w:szCs w:val="32"/>
        </w:rPr>
        <w:t>“三公”经费财政拨款支出决算为10.74万元，完成预算100.0%，决算数与预算数持平的主要原因是严格执行《预算法》，牢固树立过紧日子思想，严控“三公”经费支出。</w:t>
      </w:r>
    </w:p>
    <w:p>
      <w:pPr>
        <w:spacing w:line="560" w:lineRule="exact"/>
        <w:ind w:firstLine="640"/>
        <w:outlineLvl w:val="2"/>
        <w:rPr>
          <w:rFonts w:hint="eastAsia" w:ascii="方正楷体_GBK" w:hAnsi="方正楷体_GBK" w:eastAsia="方正楷体_GBK" w:cs="方正楷体_GBK"/>
          <w:b/>
          <w:color w:val="000000"/>
          <w:sz w:val="32"/>
          <w:szCs w:val="32"/>
        </w:rPr>
      </w:pPr>
      <w:bookmarkStart w:id="45" w:name="_Toc15377217"/>
      <w:r>
        <w:rPr>
          <w:rFonts w:hint="eastAsia" w:ascii="方正楷体_GBK" w:hAnsi="方正楷体_GBK" w:eastAsia="方正楷体_GBK" w:cs="方正楷体_GBK"/>
          <w:b/>
          <w:color w:val="000000"/>
          <w:sz w:val="32"/>
          <w:szCs w:val="32"/>
        </w:rPr>
        <w:t>（二）“三公”经费财政拨款支出决算具体情况说明</w:t>
      </w:r>
      <w:bookmarkEnd w:id="45"/>
    </w:p>
    <w:p>
      <w:pPr>
        <w:spacing w:line="560" w:lineRule="exact"/>
        <w:ind w:firstLine="640"/>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年“三</w:t>
      </w:r>
      <w:r>
        <w:rPr>
          <w:rFonts w:hint="eastAsia" w:ascii="Times New Roman" w:hAnsi="Times New Roman" w:eastAsia="方正仿宋_GBK" w:cs="Times New Roman"/>
          <w:color w:val="000000"/>
          <w:sz w:val="32"/>
          <w:szCs w:val="32"/>
        </w:rPr>
        <w:t>公”经费财政拨款支出决算中，因公出国（境）费支出决算数0万元，占0.0%；公务用车购置及运行维护费支出决算数10.59万元，占98.6%；公务接待费支出决算数0.15万元，占1.4%。具体情况如下：</w:t>
      </w:r>
    </w:p>
    <w:p>
      <w:pPr>
        <w:pStyle w:val="2"/>
        <w:spacing w:before="93"/>
        <w:rPr>
          <w:rFonts w:hint="eastAsia"/>
        </w:rPr>
      </w:pPr>
    </w:p>
    <w:p>
      <w:pPr>
        <w:pStyle w:val="2"/>
        <w:spacing w:before="93"/>
      </w:pPr>
      <w:r>
        <w:rPr>
          <w:rFonts w:hint="eastAsia"/>
        </w:rPr>
        <w:drawing>
          <wp:inline distT="0" distB="0" distL="0" distR="0">
            <wp:extent cx="4860925" cy="2675255"/>
            <wp:effectExtent l="19050" t="0" r="15841"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eastAsia="方正仿宋_GBK"/>
          <w:color w:val="000000"/>
          <w:sz w:val="32"/>
          <w:szCs w:val="32"/>
        </w:rPr>
        <w:t>.因</w:t>
      </w:r>
      <w:r>
        <w:rPr>
          <w:rFonts w:hint="eastAsia" w:ascii="Times New Roman" w:hAnsi="Times New Roman" w:eastAsia="方正仿宋_GBK" w:cs="Times New Roman"/>
          <w:color w:val="000000"/>
          <w:sz w:val="32"/>
          <w:szCs w:val="32"/>
        </w:rPr>
        <w:t>公出国（境）经费支出0万元，与2020年相比无增减。</w:t>
      </w:r>
    </w:p>
    <w:p>
      <w:pPr>
        <w:spacing w:line="560" w:lineRule="exact"/>
        <w:ind w:firstLine="64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2.公务用车购置及运行维护费支出10.74万元，完成预算100.0%。公务用车购置及运行维护费支出决算比2020年增加2.07万元，增长24.3%。主要原因是增加了车辆运行里程从而增加了油耗费用。</w:t>
      </w:r>
    </w:p>
    <w:p>
      <w:pPr>
        <w:spacing w:line="560" w:lineRule="exact"/>
        <w:ind w:firstLine="64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其中：公务用车购置支出0万元。全年按规定更新购置公务用车0辆，其中：轿车0辆、金额0万元，越野车0辆、金额0万元，载客汽车0辆、金额0万元，其他车型0辆、金额0万元。截至2021年12月底，单位共有公务用车2辆，其中：轿车0辆、越野车0辆、载客汽车0辆、其他车型2辆。</w:t>
      </w:r>
    </w:p>
    <w:p>
      <w:pPr>
        <w:spacing w:line="560" w:lineRule="exact"/>
        <w:ind w:firstLine="64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公务用车运行维护费支出10.74万元。主要用于“四好农村路”创建和三年品质提升等所需的公务用车燃料费、维修费、过路过桥费、保险费等支出。</w:t>
      </w:r>
    </w:p>
    <w:p>
      <w:pPr>
        <w:spacing w:line="560" w:lineRule="exact"/>
        <w:ind w:firstLine="64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3.公务接待费支出0.15万元，完成预算100.0%。公务接待费支出决算比2020年减少0.14万元，下降48.3%。主要原因是牢固树立过紧日子思想，严格按照中央、省、市要求压缩支出。其中：</w:t>
      </w:r>
    </w:p>
    <w:p>
      <w:pPr>
        <w:spacing w:line="560" w:lineRule="exact"/>
        <w:ind w:firstLine="64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国内公务接待支出0.15万元，主要用于接待市外单位来资对接“四好农村路”示范县创建初评、2021年桥梁检测及升级省道路况调查等事宜执行公务、开展业务活动开支的交通费、住宿费、用餐费等。国内公务接待3批次，15人次，共计支出0.15万元，具体内容包括：接待咨询2021年桥梁检测工作0.05万元；接待对接升级省道路况调查事宜0.07万元；接待对接“四好农村路”示范创建初评工作0.03。</w:t>
      </w:r>
    </w:p>
    <w:p>
      <w:pPr>
        <w:spacing w:line="560" w:lineRule="exact"/>
        <w:ind w:firstLine="64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外事接待支出0万元。</w:t>
      </w:r>
    </w:p>
    <w:p>
      <w:pPr>
        <w:spacing w:line="560" w:lineRule="exact"/>
        <w:ind w:firstLine="640" w:firstLineChars="200"/>
        <w:outlineLvl w:val="1"/>
        <w:rPr>
          <w:rFonts w:hint="eastAsia" w:ascii="方正黑体_GBK" w:hAnsi="方正黑体_GBK" w:eastAsia="方正黑体_GBK" w:cs="方正黑体_GBK"/>
          <w:b w:val="0"/>
          <w:bCs/>
          <w:color w:val="000000"/>
          <w:sz w:val="32"/>
          <w:szCs w:val="32"/>
        </w:rPr>
      </w:pPr>
      <w:bookmarkStart w:id="46" w:name="_Toc15377218"/>
      <w:bookmarkStart w:id="47" w:name="_Toc15396610"/>
      <w:r>
        <w:rPr>
          <w:rFonts w:hint="eastAsia" w:ascii="方正黑体_GBK" w:hAnsi="方正黑体_GBK" w:eastAsia="方正黑体_GBK" w:cs="方正黑体_GBK"/>
          <w:b w:val="0"/>
          <w:bCs/>
          <w:color w:val="000000"/>
          <w:sz w:val="32"/>
          <w:szCs w:val="32"/>
        </w:rPr>
        <w:t>八、政府性基金预算支出决算情况说明</w:t>
      </w:r>
      <w:bookmarkEnd w:id="46"/>
      <w:bookmarkEnd w:id="47"/>
    </w:p>
    <w:p>
      <w:pPr>
        <w:spacing w:line="560" w:lineRule="exact"/>
        <w:ind w:firstLine="640"/>
        <w:rPr>
          <w:rFonts w:ascii="方正仿宋_GBK" w:eastAsia="方正仿宋_GBK"/>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年政府性</w:t>
      </w:r>
      <w:r>
        <w:rPr>
          <w:rFonts w:hint="eastAsia" w:ascii="Times New Roman" w:hAnsi="Times New Roman" w:eastAsia="方正仿宋_GBK" w:cs="Times New Roman"/>
          <w:color w:val="000000"/>
          <w:sz w:val="32"/>
          <w:szCs w:val="32"/>
        </w:rPr>
        <w:t>基金预算拨款支出0万元。</w:t>
      </w:r>
    </w:p>
    <w:p>
      <w:pPr>
        <w:numPr>
          <w:ilvl w:val="0"/>
          <w:numId w:val="0"/>
        </w:numPr>
        <w:spacing w:line="560" w:lineRule="exact"/>
        <w:ind w:firstLine="640" w:firstLineChars="200"/>
        <w:outlineLvl w:val="1"/>
        <w:rPr>
          <w:rFonts w:hint="eastAsia" w:ascii="方正黑体_GBK" w:hAnsi="方正黑体_GBK" w:eastAsia="方正黑体_GBK" w:cs="方正黑体_GBK"/>
          <w:b w:val="0"/>
          <w:bCs/>
          <w:color w:val="000000"/>
          <w:sz w:val="32"/>
          <w:szCs w:val="32"/>
        </w:rPr>
      </w:pPr>
      <w:bookmarkStart w:id="48" w:name="_Toc15396611"/>
      <w:bookmarkStart w:id="49" w:name="_Toc15377219"/>
      <w:r>
        <w:rPr>
          <w:rFonts w:hint="eastAsia" w:ascii="方正黑体_GBK" w:hAnsi="方正黑体_GBK" w:eastAsia="方正黑体_GBK" w:cs="方正黑体_GBK"/>
          <w:b w:val="0"/>
          <w:bCs/>
          <w:color w:val="000000"/>
          <w:sz w:val="32"/>
          <w:szCs w:val="32"/>
          <w:lang w:eastAsia="zh-CN"/>
        </w:rPr>
        <w:t>九、</w:t>
      </w:r>
      <w:r>
        <w:rPr>
          <w:rFonts w:hint="eastAsia" w:ascii="方正黑体_GBK" w:hAnsi="方正黑体_GBK" w:eastAsia="方正黑体_GBK" w:cs="方正黑体_GBK"/>
          <w:b w:val="0"/>
          <w:bCs/>
          <w:color w:val="000000"/>
          <w:sz w:val="32"/>
          <w:szCs w:val="32"/>
        </w:rPr>
        <w:t>国有资本经营预算支出决算情况说明</w:t>
      </w:r>
      <w:bookmarkEnd w:id="48"/>
      <w:bookmarkEnd w:id="49"/>
    </w:p>
    <w:p>
      <w:pPr>
        <w:spacing w:line="560" w:lineRule="exact"/>
        <w:ind w:firstLine="640"/>
        <w:rPr>
          <w:rFonts w:ascii="方正仿宋_GBK" w:eastAsia="方正仿宋_GBK"/>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w:t>
      </w:r>
      <w:r>
        <w:rPr>
          <w:rFonts w:hint="eastAsia" w:ascii="Times New Roman" w:hAnsi="Times New Roman" w:eastAsia="方正仿宋_GBK" w:cs="Times New Roman"/>
          <w:color w:val="000000"/>
          <w:sz w:val="32"/>
          <w:szCs w:val="32"/>
        </w:rPr>
        <w:t>国有资本经营预算拨款支出0万元。</w:t>
      </w:r>
    </w:p>
    <w:p>
      <w:pPr>
        <w:spacing w:line="560" w:lineRule="exact"/>
        <w:ind w:firstLine="640" w:firstLineChars="200"/>
        <w:outlineLvl w:val="1"/>
        <w:rPr>
          <w:rFonts w:ascii="方正仿宋_GBK" w:eastAsia="方正仿宋_GBK"/>
          <w:b/>
          <w:color w:val="000000"/>
          <w:sz w:val="32"/>
          <w:szCs w:val="32"/>
        </w:rPr>
      </w:pPr>
      <w:bookmarkStart w:id="50" w:name="_Toc15396612"/>
      <w:bookmarkStart w:id="51" w:name="_Toc15377221"/>
      <w:r>
        <w:rPr>
          <w:rFonts w:hint="eastAsia" w:ascii="方正黑体_GBK" w:hAnsi="方正黑体_GBK" w:eastAsia="方正黑体_GBK" w:cs="方正黑体_GBK"/>
          <w:b w:val="0"/>
          <w:bCs/>
          <w:color w:val="000000"/>
          <w:sz w:val="32"/>
          <w:szCs w:val="32"/>
        </w:rPr>
        <w:t>十、其他重要事项的情况说明</w:t>
      </w:r>
      <w:bookmarkEnd w:id="50"/>
      <w:bookmarkEnd w:id="51"/>
    </w:p>
    <w:p>
      <w:pPr>
        <w:spacing w:line="560" w:lineRule="exact"/>
        <w:ind w:firstLine="642" w:firstLineChars="200"/>
        <w:outlineLvl w:val="2"/>
        <w:rPr>
          <w:rFonts w:hint="eastAsia" w:ascii="方正楷体_GBK" w:hAnsi="方正楷体_GBK" w:eastAsia="方正楷体_GBK" w:cs="方正楷体_GBK"/>
          <w:color w:val="000000"/>
          <w:sz w:val="32"/>
          <w:szCs w:val="32"/>
        </w:rPr>
      </w:pPr>
      <w:bookmarkStart w:id="52" w:name="_Toc15377222"/>
      <w:r>
        <w:rPr>
          <w:rFonts w:hint="eastAsia" w:ascii="方正楷体_GBK" w:hAnsi="方正楷体_GBK" w:eastAsia="方正楷体_GBK" w:cs="方正楷体_GBK"/>
          <w:b/>
          <w:color w:val="000000"/>
          <w:sz w:val="32"/>
          <w:szCs w:val="32"/>
        </w:rPr>
        <w:t>（一）机关运行经费支出情况</w:t>
      </w:r>
      <w:bookmarkEnd w:id="52"/>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w:t>
      </w:r>
      <w:r>
        <w:rPr>
          <w:rFonts w:hint="eastAsia" w:ascii="Times New Roman" w:hAnsi="Times New Roman" w:eastAsia="方正仿宋_GBK" w:cs="Times New Roman"/>
          <w:color w:val="000000"/>
          <w:sz w:val="32"/>
          <w:szCs w:val="32"/>
        </w:rPr>
        <w:t>，资阳市公路事业发展中心机关运行经费支出61.32万元，比2020年增加7.96万元，增长14.9%。主要原因是日常开支有所增加。</w:t>
      </w:r>
    </w:p>
    <w:p>
      <w:pPr>
        <w:autoSpaceDE w:val="0"/>
        <w:autoSpaceDN w:val="0"/>
        <w:adjustRightInd w:val="0"/>
        <w:spacing w:line="560" w:lineRule="exact"/>
        <w:ind w:firstLine="642" w:firstLineChars="200"/>
        <w:jc w:val="left"/>
        <w:outlineLvl w:val="2"/>
        <w:rPr>
          <w:rFonts w:hint="eastAsia" w:ascii="方正楷体_GBK" w:hAnsi="方正楷体_GBK" w:eastAsia="方正楷体_GBK" w:cs="方正楷体_GBK"/>
          <w:b/>
          <w:color w:val="000000"/>
          <w:sz w:val="32"/>
          <w:szCs w:val="32"/>
        </w:rPr>
      </w:pPr>
      <w:bookmarkStart w:id="53" w:name="_Toc15377223"/>
      <w:r>
        <w:rPr>
          <w:rFonts w:hint="eastAsia" w:ascii="方正楷体_GBK" w:hAnsi="方正楷体_GBK" w:eastAsia="方正楷体_GBK" w:cs="方正楷体_GBK"/>
          <w:b/>
          <w:color w:val="000000"/>
          <w:sz w:val="32"/>
          <w:szCs w:val="32"/>
        </w:rPr>
        <w:t>（二）政府采购支出情况</w:t>
      </w:r>
      <w:bookmarkEnd w:id="53"/>
    </w:p>
    <w:p>
      <w:pPr>
        <w:spacing w:line="560" w:lineRule="exact"/>
        <w:ind w:firstLine="640" w:firstLineChars="200"/>
        <w:rPr>
          <w:rFonts w:ascii="方正仿宋_GBK" w:eastAsia="方正仿宋_GBK"/>
          <w:color w:val="000000"/>
          <w:sz w:val="32"/>
          <w:szCs w:val="32"/>
        </w:rPr>
      </w:pP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w:t>
      </w:r>
      <w:r>
        <w:rPr>
          <w:rFonts w:hint="eastAsia" w:ascii="Times New Roman" w:hAnsi="Times New Roman" w:eastAsia="方正仿宋_GBK" w:cs="Times New Roman"/>
          <w:color w:val="000000"/>
          <w:sz w:val="32"/>
          <w:szCs w:val="32"/>
        </w:rPr>
        <w:t>资阳市公路事业发展中心政府采购支出总额0万元，其中：政府采购货物支出0万元、政府采购工程支出0万元、政府采购服务支出0万元。授予中小企业合同金额0万元，占政府采购支出总额的0.0%，其中：授予小微企业合同金额0万元，占政府采购支出总额的0.0%。</w:t>
      </w:r>
    </w:p>
    <w:p>
      <w:pPr>
        <w:autoSpaceDE w:val="0"/>
        <w:autoSpaceDN w:val="0"/>
        <w:adjustRightInd w:val="0"/>
        <w:spacing w:line="560" w:lineRule="exact"/>
        <w:ind w:firstLine="642" w:firstLineChars="200"/>
        <w:jc w:val="left"/>
        <w:outlineLvl w:val="2"/>
        <w:rPr>
          <w:rFonts w:hint="eastAsia" w:ascii="方正楷体_GBK" w:hAnsi="方正楷体_GBK" w:eastAsia="方正楷体_GBK" w:cs="方正楷体_GBK"/>
          <w:b/>
          <w:color w:val="000000"/>
          <w:sz w:val="32"/>
          <w:szCs w:val="32"/>
        </w:rPr>
      </w:pPr>
      <w:bookmarkStart w:id="54" w:name="_Toc15377224"/>
      <w:r>
        <w:rPr>
          <w:rFonts w:hint="eastAsia" w:ascii="方正楷体_GBK" w:hAnsi="方正楷体_GBK" w:eastAsia="方正楷体_GBK" w:cs="方正楷体_GBK"/>
          <w:b/>
          <w:color w:val="000000"/>
          <w:sz w:val="32"/>
          <w:szCs w:val="32"/>
        </w:rPr>
        <w:t>（三）国有资产占有使用情况</w:t>
      </w:r>
      <w:bookmarkEnd w:id="54"/>
    </w:p>
    <w:p>
      <w:pPr>
        <w:autoSpaceDE w:val="0"/>
        <w:autoSpaceDN w:val="0"/>
        <w:adjustRightInd w:val="0"/>
        <w:spacing w:line="560" w:lineRule="exact"/>
        <w:ind w:firstLine="640" w:firstLineChars="200"/>
        <w:jc w:val="left"/>
        <w:rPr>
          <w:rFonts w:hint="default" w:ascii="Times New Roman" w:hAnsi="Times New Roman" w:eastAsia="方正仿宋_GBK" w:cs="Times New Roman"/>
          <w:color w:val="000000"/>
          <w:sz w:val="32"/>
          <w:szCs w:val="32"/>
        </w:rPr>
      </w:pPr>
      <w:r>
        <w:rPr>
          <w:rFonts w:hint="eastAsia" w:ascii="方正仿宋_GBK" w:eastAsia="方正仿宋_GBK"/>
          <w:color w:val="000000"/>
          <w:sz w:val="32"/>
          <w:szCs w:val="32"/>
        </w:rPr>
        <w:t>截至</w:t>
      </w: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w:t>
      </w:r>
      <w:r>
        <w:rPr>
          <w:rFonts w:hint="eastAsia" w:ascii="Times New Roman" w:hAnsi="Times New Roman" w:eastAsia="方正仿宋_GBK" w:cs="Times New Roman"/>
          <w:color w:val="000000"/>
          <w:sz w:val="32"/>
          <w:szCs w:val="32"/>
        </w:rPr>
        <w:t>12月31日，资阳市公路事业发展中心共有车辆2辆，其中：主要领导干部用车0辆、机要通信用车0辆、应急保障用车0辆、执法执勤用车0辆、特种专业技术用车2辆、其他用车0辆。</w:t>
      </w:r>
    </w:p>
    <w:p>
      <w:pPr>
        <w:autoSpaceDE w:val="0"/>
        <w:autoSpaceDN w:val="0"/>
        <w:adjustRightInd w:val="0"/>
        <w:spacing w:line="560" w:lineRule="exact"/>
        <w:ind w:firstLine="640" w:firstLineChars="200"/>
        <w:jc w:val="left"/>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单价50万元以上通用设备0台（套），单价100万元以上专用设备0台（套）。</w:t>
      </w:r>
    </w:p>
    <w:p>
      <w:pPr>
        <w:autoSpaceDE w:val="0"/>
        <w:autoSpaceDN w:val="0"/>
        <w:adjustRightInd w:val="0"/>
        <w:spacing w:line="560" w:lineRule="exact"/>
        <w:ind w:firstLine="642" w:firstLineChars="200"/>
        <w:jc w:val="left"/>
        <w:rPr>
          <w:rFonts w:hint="eastAsia"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（四）预算绩效管理情况</w:t>
      </w:r>
    </w:p>
    <w:p>
      <w:pPr>
        <w:autoSpaceDE w:val="0"/>
        <w:autoSpaceDN w:val="0"/>
        <w:adjustRightInd w:val="0"/>
        <w:spacing w:line="560" w:lineRule="exact"/>
        <w:ind w:firstLine="640" w:firstLineChars="200"/>
        <w:jc w:val="left"/>
        <w:rPr>
          <w:rFonts w:hint="default" w:ascii="Times New Roman" w:hAnsi="Times New Roman" w:eastAsia="方正仿宋_GBK" w:cs="Times New Roman"/>
          <w:color w:val="000000"/>
          <w:sz w:val="32"/>
          <w:szCs w:val="32"/>
        </w:rPr>
      </w:pPr>
      <w:r>
        <w:rPr>
          <w:rFonts w:hint="eastAsia" w:ascii="方正仿宋_GBK" w:eastAsia="方正仿宋_GBK"/>
          <w:color w:val="000000"/>
          <w:sz w:val="32"/>
          <w:szCs w:val="32"/>
        </w:rPr>
        <w:t>本单位</w:t>
      </w:r>
      <w:r>
        <w:rPr>
          <w:rFonts w:hint="default" w:ascii="Times New Roman" w:hAnsi="Times New Roman" w:eastAsia="方正仿宋_GBK" w:cs="Times New Roman"/>
          <w:color w:val="000000"/>
          <w:sz w:val="32"/>
          <w:szCs w:val="32"/>
        </w:rPr>
        <w:t>2021</w:t>
      </w:r>
      <w:r>
        <w:rPr>
          <w:rFonts w:hint="eastAsia" w:ascii="方正仿宋_GBK" w:eastAsia="方正仿宋_GBK"/>
          <w:color w:val="000000"/>
          <w:sz w:val="32"/>
          <w:szCs w:val="32"/>
        </w:rPr>
        <w:t>年无专</w:t>
      </w:r>
      <w:r>
        <w:rPr>
          <w:rFonts w:hint="eastAsia" w:ascii="Times New Roman" w:hAnsi="Times New Roman" w:eastAsia="方正仿宋_GBK" w:cs="Times New Roman"/>
          <w:color w:val="000000"/>
          <w:sz w:val="32"/>
          <w:szCs w:val="32"/>
        </w:rPr>
        <w:t>项预算项目，根据预算绩效管理要求，无达到事前绩效评估条件项目，因此未组织开展项目事前绩效评估；无专项预算项目，因此未组织开展项目支出绩效评价。</w:t>
      </w:r>
    </w:p>
    <w:p>
      <w:pPr>
        <w:autoSpaceDE w:val="0"/>
        <w:autoSpaceDN w:val="0"/>
        <w:adjustRightInd w:val="0"/>
        <w:spacing w:line="560" w:lineRule="exact"/>
        <w:ind w:firstLine="640" w:firstLineChars="200"/>
        <w:jc w:val="left"/>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本部门对2021年部门整体开展绩效自评，《2021年资阳市公路事业发展中心整体绩效评价报告》见附件（第四部分）。</w:t>
      </w:r>
    </w:p>
    <w:p>
      <w:pPr>
        <w:pStyle w:val="2"/>
        <w:spacing w:before="93"/>
        <w:rPr>
          <w:rFonts w:hint="eastAsia"/>
          <w:i/>
          <w:sz w:val="32"/>
          <w:szCs w:val="32"/>
          <w:highlight w:val="yellow"/>
        </w:rPr>
      </w:pPr>
    </w:p>
    <w:p>
      <w:pPr>
        <w:pStyle w:val="2"/>
        <w:spacing w:before="93"/>
        <w:rPr>
          <w:rFonts w:hint="eastAsia"/>
          <w:i/>
          <w:sz w:val="32"/>
          <w:szCs w:val="32"/>
          <w:highlight w:val="yellow"/>
        </w:rPr>
      </w:pPr>
    </w:p>
    <w:p>
      <w:pPr>
        <w:pStyle w:val="2"/>
        <w:spacing w:before="93"/>
        <w:rPr>
          <w:rFonts w:hint="eastAsia"/>
          <w:i/>
          <w:sz w:val="32"/>
          <w:szCs w:val="32"/>
          <w:highlight w:val="yellow"/>
        </w:rPr>
      </w:pPr>
    </w:p>
    <w:p>
      <w:pPr>
        <w:pStyle w:val="2"/>
        <w:spacing w:before="93"/>
        <w:rPr>
          <w:rFonts w:hint="eastAsia"/>
          <w:i/>
          <w:sz w:val="32"/>
          <w:szCs w:val="32"/>
          <w:highlight w:val="yellow"/>
        </w:rPr>
      </w:pPr>
    </w:p>
    <w:p>
      <w:pPr>
        <w:pStyle w:val="2"/>
        <w:spacing w:before="93"/>
        <w:rPr>
          <w:i/>
          <w:sz w:val="32"/>
          <w:szCs w:val="32"/>
          <w:highlight w:val="yellow"/>
        </w:rPr>
      </w:pPr>
    </w:p>
    <w:p>
      <w:pPr>
        <w:numPr>
          <w:ilvl w:val="0"/>
          <w:numId w:val="0"/>
        </w:numPr>
        <w:spacing w:line="600" w:lineRule="exact"/>
        <w:jc w:val="center"/>
        <w:outlineLvl w:val="0"/>
        <w:rPr>
          <w:rStyle w:val="13"/>
          <w:rFonts w:ascii="方正小标宋简体" w:eastAsia="方正小标宋简体"/>
          <w:b w:val="0"/>
          <w:bCs w:val="0"/>
          <w:sz w:val="36"/>
          <w:szCs w:val="36"/>
        </w:rPr>
      </w:pPr>
      <w:bookmarkStart w:id="55" w:name="_Toc15377225"/>
      <w:bookmarkStart w:id="56" w:name="_Toc15396613"/>
      <w:r>
        <w:rPr>
          <w:rStyle w:val="13"/>
          <w:rFonts w:hint="eastAsia" w:ascii="方正小标宋简体" w:eastAsia="方正小标宋简体"/>
          <w:b w:val="0"/>
          <w:bCs w:val="0"/>
          <w:sz w:val="36"/>
          <w:szCs w:val="36"/>
          <w:lang w:eastAsia="zh-CN"/>
        </w:rPr>
        <w:t>第三部分</w:t>
      </w:r>
      <w:r>
        <w:rPr>
          <w:rStyle w:val="13"/>
          <w:rFonts w:hint="eastAsia" w:ascii="方正小标宋简体" w:eastAsia="方正小标宋简体"/>
          <w:b w:val="0"/>
          <w:bCs w:val="0"/>
          <w:sz w:val="36"/>
          <w:szCs w:val="36"/>
          <w:lang w:val="en-US" w:eastAsia="zh-CN"/>
        </w:rPr>
        <w:t xml:space="preserve"> </w:t>
      </w:r>
      <w:r>
        <w:rPr>
          <w:rStyle w:val="13"/>
          <w:rFonts w:hint="eastAsia" w:ascii="方正小标宋简体" w:eastAsia="方正小标宋简体"/>
          <w:b w:val="0"/>
          <w:bCs w:val="0"/>
          <w:sz w:val="36"/>
          <w:szCs w:val="36"/>
        </w:rPr>
        <w:t>名词解释</w:t>
      </w:r>
      <w:bookmarkEnd w:id="55"/>
      <w:bookmarkEnd w:id="56"/>
    </w:p>
    <w:p>
      <w:pPr>
        <w:pStyle w:val="2"/>
        <w:spacing w:before="93"/>
      </w:pPr>
    </w:p>
    <w:p>
      <w:pPr>
        <w:pStyle w:val="18"/>
        <w:spacing w:line="560" w:lineRule="exact"/>
        <w:ind w:firstLine="640" w:firstLineChars="200"/>
        <w:rPr>
          <w:rFonts w:ascii="方正仿宋_GBK" w:eastAsia="方正仿宋_GBK"/>
          <w:color w:val="auto"/>
          <w:sz w:val="32"/>
          <w:szCs w:val="32"/>
        </w:rPr>
      </w:pPr>
      <w:r>
        <w:rPr>
          <w:rFonts w:hint="default" w:ascii="Times New Roman" w:hAnsi="Times New Roman" w:eastAsia="方正仿宋_GBK" w:cs="Times New Roman"/>
          <w:color w:val="auto"/>
          <w:sz w:val="32"/>
          <w:szCs w:val="32"/>
        </w:rPr>
        <w:t>1</w:t>
      </w:r>
      <w:r>
        <w:rPr>
          <w:rFonts w:hint="eastAsia" w:ascii="方正仿宋_GBK" w:eastAsia="方正仿宋_GBK"/>
          <w:color w:val="auto"/>
          <w:sz w:val="32"/>
          <w:szCs w:val="32"/>
        </w:rPr>
        <w:t>.财政拨款收入：指单位从同级财政部门取得的财政预算资金。</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2.事业收入：指事业单位开展专业业务活动及辅助活动取得的收入。如…（二级预算单位事业收入情况）等。</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3.经营收入：指事业单位在专业业务活动及其辅助活动之外开展非独立核算经营活动取得的收入。如…（二级预算单位经营收入情况）等。</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xml:space="preserve">4.其他收入：指单位取得的除上述收入以外的各项收入。主要是…（收入类型）等。 </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xml:space="preserve">5.使用非财政拨款结余：指事业单位使用以前年度积累的非财政拨款结余弥补当年收支差额的金额。 </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xml:space="preserve">6.年初结转和结余：指以前年度尚未完成、结转到本年按有关规定继续使用的资金。 </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7.结余分配：指事业单位按照会计制度规定缴纳的所得税、提取的专用结余以及转入非财政拨款结余的金额等。</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8、年末结转和结余：指单位按有关规定结转到下年或以后年度继续使用的资金。</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9.一般公共服务（类）政府办公厅（室）及相关机构事务（款）其他政府办公厅（室）及相关机构事务支出（项）：指反应除一般公共服务其它项以外的其他政府办公厅（室）及相关机构事务支出。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10. 农林水支出（类）扶贫（款）其他扶贫支出（项）：反应除上述项目以外其他用于扶贫方面的支出。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11.交通运输支出（类）公路水路运输（款）一般行政管理事务（项）：指反映行政单位（包括实行公务员管理的事业单位）未单独设置项级科目的其他项目支出。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12. 交通运输支出（类）公路水路运输（款）其他公路水路运输支出（项）：指反映除上述项目以外其他用于公路水路运输方面的支出。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13.交通运输支出（类）公路水路运输（款）行政运行（项）：指反映行政单位（包括实行公务员管理的事业单位）的基本支出。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14.交通运输支出（类）公路水路运输（款）公路养护（项）：指反映公路养护支出。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15.交通运输支出（类）公路水路运输（款）公路和运输安全（项）：指反映公路和运输安全支出。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16.交通运输支出（类）公路水路运输（款）公路和运输技术标准化建设（项）：指反映公路和运输技术标准化建设支出。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17.住房保障支出（类）住房改革支出（款）住房公积金（项）：指反映行政事业单位按人力资源和社会保障部、财政部规定的基本工资和津贴补贴以及规定比列为职工缴纳的住房公积金。</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18.社会保障和就业支出（类）行政事业单位养老支出（款）机关事业单位基本养老保险缴费支出（项）：指反映机关事业单位实施养老保险制度由单位缴纳的基本养老保险费支出。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19.卫生健康支出（类）行政事业单位医疗（款）行政单位医疗（项）：指反映财政部门安排的行政单位基本医疗保险缴费经费，未参加医疗保险的行政单位的公费医疗经费，按国家规定享受离休人员、红军老战士待遇人员的医疗经费。</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20.基本支出：指为保障机构正常运转、完成日常工作任务而发生的人员支出和公用支出。</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xml:space="preserve">21.项目支出：指在基本支出之外为完成特定行政任务和事业发展目标所发生的支出。 </w:t>
      </w:r>
    </w:p>
    <w:p>
      <w:pPr>
        <w:pStyle w:val="18"/>
        <w:spacing w:line="56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spacing w:line="560" w:lineRule="exact"/>
        <w:ind w:firstLine="640" w:firstLineChars="200"/>
        <w:rPr>
          <w:rFonts w:ascii="方正仿宋_GBK" w:eastAsia="方正仿宋_GBK"/>
          <w:color w:val="auto"/>
          <w:sz w:val="32"/>
          <w:szCs w:val="32"/>
        </w:rPr>
      </w:pPr>
      <w:r>
        <w:rPr>
          <w:rFonts w:hint="eastAsia" w:ascii="Times New Roman" w:hAnsi="Times New Roman" w:eastAsia="方正仿宋_GBK" w:cs="Times New Roman"/>
          <w:color w:val="auto"/>
          <w:sz w:val="32"/>
          <w:szCs w:val="32"/>
        </w:rPr>
        <w:t>23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7" w:name="_Toc15377226"/>
    </w:p>
    <w:p>
      <w:pPr>
        <w:spacing w:line="560" w:lineRule="exact"/>
        <w:outlineLvl w:val="0"/>
        <w:rPr>
          <w:rFonts w:hint="eastAsia" w:ascii="方正仿宋_GBK" w:eastAsia="方正仿宋_GBK"/>
          <w:sz w:val="32"/>
          <w:szCs w:val="32"/>
        </w:rPr>
      </w:pPr>
      <w:bookmarkStart w:id="58" w:name="_Toc15396614"/>
    </w:p>
    <w:p>
      <w:pPr>
        <w:pStyle w:val="2"/>
        <w:spacing w:before="93"/>
        <w:rPr>
          <w:rFonts w:hint="eastAsia"/>
        </w:rPr>
      </w:pPr>
    </w:p>
    <w:p>
      <w:pPr>
        <w:pStyle w:val="2"/>
        <w:spacing w:before="93"/>
      </w:pPr>
    </w:p>
    <w:p>
      <w:pPr>
        <w:spacing w:line="560" w:lineRule="exact"/>
        <w:jc w:val="center"/>
        <w:outlineLvl w:val="0"/>
        <w:rPr>
          <w:rStyle w:val="13"/>
          <w:rFonts w:ascii="方正小标宋简体" w:hAnsi="黑体" w:eastAsia="方正小标宋简体"/>
          <w:bCs w:val="0"/>
          <w:sz w:val="36"/>
          <w:szCs w:val="36"/>
        </w:rPr>
      </w:pPr>
      <w:r>
        <w:rPr>
          <w:rStyle w:val="13"/>
          <w:rFonts w:hint="eastAsia" w:ascii="方正小标宋简体" w:hAnsi="黑体" w:eastAsia="方正小标宋简体"/>
          <w:b w:val="0"/>
          <w:bCs w:val="0"/>
          <w:sz w:val="36"/>
          <w:szCs w:val="36"/>
        </w:rPr>
        <w:t>第四部分 附件</w:t>
      </w:r>
      <w:bookmarkEnd w:id="58"/>
    </w:p>
    <w:p>
      <w:pPr>
        <w:pStyle w:val="2"/>
        <w:spacing w:before="93"/>
      </w:pPr>
    </w:p>
    <w:p>
      <w:pPr>
        <w:spacing w:line="560" w:lineRule="exact"/>
        <w:jc w:val="center"/>
        <w:outlineLvl w:val="0"/>
        <w:rPr>
          <w:rStyle w:val="13"/>
          <w:rFonts w:hint="eastAsia" w:ascii="方正小标宋简体" w:hAnsi="黑体" w:eastAsia="方正小标宋简体"/>
          <w:b w:val="0"/>
          <w:bCs w:val="0"/>
          <w:sz w:val="36"/>
          <w:szCs w:val="36"/>
        </w:rPr>
      </w:pPr>
      <w:r>
        <w:rPr>
          <w:rStyle w:val="13"/>
          <w:rFonts w:hint="eastAsia" w:ascii="方正小标宋简体" w:hAnsi="黑体" w:eastAsia="方正小标宋简体"/>
          <w:b w:val="0"/>
          <w:bCs w:val="0"/>
          <w:sz w:val="36"/>
          <w:szCs w:val="36"/>
        </w:rPr>
        <w:t>资阳市公路事业发展中心</w:t>
      </w:r>
    </w:p>
    <w:p>
      <w:pPr>
        <w:spacing w:line="560" w:lineRule="exact"/>
        <w:jc w:val="center"/>
        <w:outlineLvl w:val="0"/>
        <w:rPr>
          <w:rStyle w:val="13"/>
          <w:rFonts w:hint="eastAsia" w:ascii="方正小标宋简体" w:hAnsi="黑体" w:eastAsia="方正小标宋简体"/>
          <w:b w:val="0"/>
          <w:bCs w:val="0"/>
          <w:sz w:val="36"/>
          <w:szCs w:val="36"/>
        </w:rPr>
      </w:pPr>
      <w:r>
        <w:rPr>
          <w:rStyle w:val="13"/>
          <w:rFonts w:hint="eastAsia" w:ascii="方正小标宋简体" w:hAnsi="黑体" w:eastAsia="方正小标宋简体"/>
          <w:b w:val="0"/>
          <w:bCs w:val="0"/>
          <w:sz w:val="36"/>
          <w:szCs w:val="36"/>
        </w:rPr>
        <w:t>2021年市级部门整体支出绩效自评报告</w:t>
      </w:r>
    </w:p>
    <w:p>
      <w:pPr>
        <w:spacing w:line="560" w:lineRule="exact"/>
        <w:jc w:val="center"/>
        <w:outlineLvl w:val="0"/>
        <w:rPr>
          <w:rStyle w:val="13"/>
          <w:rFonts w:hint="eastAsia" w:ascii="方正小标宋简体" w:hAnsi="黑体" w:eastAsia="方正小标宋简体"/>
          <w:b w:val="0"/>
          <w:bCs w:val="0"/>
          <w:sz w:val="36"/>
          <w:szCs w:val="36"/>
        </w:rPr>
      </w:pPr>
    </w:p>
    <w:p>
      <w:pPr>
        <w:spacing w:line="560" w:lineRule="exact"/>
        <w:ind w:firstLine="640" w:firstLineChars="20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一、部门（单位）概况</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（一）机构组成</w:t>
      </w:r>
    </w:p>
    <w:p>
      <w:pPr>
        <w:snapToGri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资阳市公路事业发展中心为一级预算单位，无下属二级预算单位。</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（二）机构职能</w:t>
      </w:r>
    </w:p>
    <w:p>
      <w:pPr>
        <w:snapToGri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贯彻执行党和国家有关公路交通管理工作的方针、政策、法律、法规和技术规范；参与全市公路发展规划和年度计划编拟，负责全市公路养护计划的执行，协调因自然灾害造成的公路损毁的抢修和公路战备保障工作；指导监督公路养护建设资金和财务管理工作。负责全市国省干线公路养护、农村公路建设管理和危病桥整治等工作，协助全市公路建设管理工作；指导全市公路行业精神文明建设、行风建设、职工队伍建设；负责处机关思想建设、组织建设和党风廉政建设工作。</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（三）人员概况</w:t>
      </w:r>
    </w:p>
    <w:p>
      <w:pPr>
        <w:snapToGri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资阳市公路事业发展中心属参照公务员管理的事业单位，市编办核定单位总编制数</w:t>
      </w:r>
      <w:r>
        <w:rPr>
          <w:rFonts w:hint="default" w:ascii="Times New Roman" w:hAnsi="Times New Roman" w:eastAsia="方正仿宋_GBK" w:cs="Times New Roman"/>
          <w:sz w:val="32"/>
          <w:szCs w:val="32"/>
        </w:rPr>
        <w:t>21</w:t>
      </w:r>
      <w:r>
        <w:rPr>
          <w:rFonts w:hint="eastAsia" w:ascii="方正仿宋_GBK" w:hAnsi="仿宋" w:eastAsia="方正仿宋_GBK"/>
          <w:sz w:val="32"/>
          <w:szCs w:val="32"/>
        </w:rPr>
        <w:t>名。</w:t>
      </w:r>
      <w:r>
        <w:rPr>
          <w:rFonts w:hint="eastAsia" w:ascii="Times New Roman" w:hAnsi="Times New Roman" w:eastAsia="方正仿宋_GBK" w:cs="Times New Roman"/>
          <w:sz w:val="32"/>
          <w:szCs w:val="32"/>
        </w:rPr>
        <w:t>截至2021年12月实有人数19人，离休人员0人，退休人员33人。</w:t>
      </w:r>
    </w:p>
    <w:p>
      <w:pPr>
        <w:spacing w:line="560" w:lineRule="exact"/>
        <w:ind w:firstLine="640" w:firstLineChars="200"/>
        <w:jc w:val="left"/>
        <w:rPr>
          <w:rFonts w:ascii="方正仿宋_GBK" w:eastAsia="方正仿宋_GBK"/>
          <w:b/>
          <w:sz w:val="32"/>
          <w:szCs w:val="32"/>
        </w:rPr>
      </w:pPr>
      <w:r>
        <w:rPr>
          <w:rFonts w:hint="eastAsia" w:ascii="方正黑体_GBK" w:hAnsi="方正黑体_GBK" w:eastAsia="方正黑体_GBK" w:cs="方正黑体_GBK"/>
          <w:b w:val="0"/>
          <w:bCs/>
          <w:sz w:val="32"/>
          <w:szCs w:val="32"/>
        </w:rPr>
        <w:t>二、部门财政资金收支情况</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（一）部门财政资金收入情况</w:t>
      </w:r>
    </w:p>
    <w:p>
      <w:pPr>
        <w:snapToGrid w:val="0"/>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我中心</w:t>
      </w:r>
      <w:r>
        <w:rPr>
          <w:rFonts w:hint="default" w:ascii="Times New Roman" w:hAnsi="Times New Roman" w:eastAsia="方正仿宋_GBK" w:cs="Times New Roman"/>
          <w:sz w:val="32"/>
          <w:szCs w:val="32"/>
        </w:rPr>
        <w:t>2021</w:t>
      </w:r>
      <w:r>
        <w:rPr>
          <w:rFonts w:hint="eastAsia" w:ascii="方正仿宋_GBK" w:hAnsi="仿宋" w:eastAsia="方正仿宋_GBK"/>
          <w:sz w:val="32"/>
          <w:szCs w:val="32"/>
        </w:rPr>
        <w:t>年财政部</w:t>
      </w:r>
      <w:r>
        <w:rPr>
          <w:rFonts w:hint="eastAsia" w:ascii="Times New Roman" w:hAnsi="Times New Roman" w:eastAsia="方正仿宋_GBK" w:cs="Times New Roman"/>
          <w:sz w:val="32"/>
          <w:szCs w:val="32"/>
        </w:rPr>
        <w:t>门拨款收入754.25万元。其中基本支出拨款收入665.15万元，项目拨款89.10万元。</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（二）部门财政资金支出情况</w:t>
      </w:r>
    </w:p>
    <w:p>
      <w:pPr>
        <w:snapToGrid w:val="0"/>
        <w:spacing w:line="560" w:lineRule="exact"/>
        <w:ind w:firstLine="640" w:firstLineChars="200"/>
        <w:jc w:val="left"/>
        <w:rPr>
          <w:rFonts w:hint="eastAsia" w:ascii="方正仿宋_GBK" w:hAnsi="仿宋" w:eastAsia="方正仿宋_GBK"/>
          <w:sz w:val="32"/>
          <w:szCs w:val="32"/>
          <w:lang w:eastAsia="zh-CN"/>
        </w:rPr>
      </w:pPr>
      <w:r>
        <w:rPr>
          <w:rFonts w:hint="eastAsia" w:ascii="方正仿宋_GBK" w:hAnsi="仿宋" w:eastAsia="方正仿宋_GBK"/>
          <w:sz w:val="32"/>
          <w:szCs w:val="32"/>
        </w:rPr>
        <w:t>我中心</w:t>
      </w:r>
      <w:r>
        <w:rPr>
          <w:rFonts w:hint="default" w:ascii="Times New Roman" w:hAnsi="Times New Roman" w:eastAsia="方正仿宋_GBK" w:cs="Times New Roman"/>
          <w:sz w:val="32"/>
          <w:szCs w:val="32"/>
        </w:rPr>
        <w:t>2021</w:t>
      </w:r>
      <w:r>
        <w:rPr>
          <w:rFonts w:hint="eastAsia" w:ascii="方正仿宋_GBK" w:hAnsi="仿宋" w:eastAsia="方正仿宋_GBK"/>
          <w:sz w:val="32"/>
          <w:szCs w:val="32"/>
        </w:rPr>
        <w:t>年</w:t>
      </w:r>
      <w:r>
        <w:rPr>
          <w:rFonts w:hint="eastAsia" w:ascii="Times New Roman" w:hAnsi="Times New Roman" w:eastAsia="方正仿宋_GBK" w:cs="Times New Roman"/>
          <w:sz w:val="32"/>
          <w:szCs w:val="32"/>
        </w:rPr>
        <w:t>总支出758.84万元，其中行政运行基本支出665.15万元（人员经费603.83万元，日常公用经费61.32万元）项目支出93.69万元（其他政府办公厅（室）及相关机构事务支出0.09万元，一般行政管理事务15.9万元，公路养护46万元，公路和运输安全4.5万元，公路和运输技术标准化建设6.99万元，其他公路水路运输支出20.21万元）</w:t>
      </w:r>
      <w:r>
        <w:rPr>
          <w:rFonts w:hint="eastAsia" w:eastAsia="方正仿宋_GBK" w:cs="Times New Roman"/>
          <w:sz w:val="32"/>
          <w:szCs w:val="32"/>
          <w:lang w:eastAsia="zh-CN"/>
        </w:rPr>
        <w:t>。</w:t>
      </w:r>
    </w:p>
    <w:p>
      <w:pPr>
        <w:spacing w:line="560" w:lineRule="exact"/>
        <w:ind w:firstLine="640" w:firstLineChars="20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三、评价工作开展情况</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（一）自评工作组织领导</w:t>
      </w:r>
    </w:p>
    <w:p>
      <w:pPr>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我中心成立了工作领导小组，处长任组长，分管领导任副组长，各科室负责人为成员,明确了绩效评价工作的具体经办科室,从组织和人力上给予了保障。</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（二）自评方式、方法、重点等</w:t>
      </w:r>
    </w:p>
    <w:p>
      <w:pPr>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按照整体绩效评价的要求，结合我中心的职能职责，年初对整体绩效目标的合理性进行了论证，同时对目标进行了细化分解，做到了目标规划合理，任务指标可操作性强；在预算配置及预算执行方面，按照年初预算执行，每一项支出严格按照相关的财务管理规定和财经制度，对资金加强监督管理，规范财务制度，确保资金合规合法；对履行职责及产出效益方面，对照每项指标确定出任务的完成率、及时率和达标率；社会效益方面，基础设施不断完善，农村生产生活环境得到极大改善，社会公众满意度大幅提高。自评的重点在监督预算执行过程以及所产生的社会效益。</w:t>
      </w:r>
    </w:p>
    <w:p>
      <w:pPr>
        <w:spacing w:line="560" w:lineRule="exact"/>
        <w:ind w:firstLine="640" w:firstLineChars="20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四、评价结论</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w:t>
      </w:r>
      <w:r>
        <w:rPr>
          <w:rFonts w:hint="eastAsia" w:ascii="方正仿宋_GBK" w:hAnsi="仿宋" w:eastAsia="方正仿宋_GBK"/>
          <w:sz w:val="32"/>
          <w:szCs w:val="32"/>
        </w:rPr>
        <w:t>年我中心在上级部门的领导下，加强支出绩效管理，严格执行财经纪律，各</w:t>
      </w:r>
      <w:r>
        <w:rPr>
          <w:rFonts w:hint="eastAsia" w:ascii="Times New Roman" w:hAnsi="Times New Roman" w:eastAsia="方正仿宋_GBK" w:cs="Times New Roman"/>
          <w:sz w:val="32"/>
          <w:szCs w:val="32"/>
        </w:rPr>
        <w:t>项工作稳步推进，较为圆满的完成了全年各项工作任务，民生工程超目标完成，国省干线公路路况水平大幅提升，社会反响好，实实在在为老百姓办了好事、实事。按照综合评分结果，依据资财监督绩效〔2020〕1号等规定确定绩效等级为良。</w:t>
      </w:r>
    </w:p>
    <w:p>
      <w:pPr>
        <w:spacing w:line="560" w:lineRule="exact"/>
        <w:ind w:firstLine="640" w:firstLineChars="20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五、绩效分析</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（一）指标分析</w:t>
      </w:r>
    </w:p>
    <w:p>
      <w:pPr>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由于年初未安排政府采购资金，导致政府采购执行率未得分。</w:t>
      </w:r>
    </w:p>
    <w:p>
      <w:pPr>
        <w:spacing w:line="560" w:lineRule="exact"/>
        <w:ind w:firstLine="642" w:firstLineChars="200"/>
        <w:jc w:val="left"/>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（二）综合绩效分析</w:t>
      </w:r>
    </w:p>
    <w:p>
      <w:pPr>
        <w:spacing w:line="560" w:lineRule="exact"/>
        <w:ind w:firstLine="642" w:firstLineChars="200"/>
        <w:jc w:val="left"/>
        <w:rPr>
          <w:rFonts w:ascii="方正仿宋_GBK" w:eastAsia="方正仿宋_GBK"/>
          <w:b/>
          <w:sz w:val="32"/>
          <w:szCs w:val="32"/>
        </w:rPr>
      </w:pPr>
      <w:r>
        <w:rPr>
          <w:rFonts w:hint="eastAsia" w:ascii="方正仿宋_GBK" w:eastAsia="方正仿宋_GBK"/>
          <w:b/>
          <w:sz w:val="32"/>
          <w:szCs w:val="32"/>
        </w:rPr>
        <w:t>1．部门职能履行情况</w:t>
      </w:r>
    </w:p>
    <w:p>
      <w:pPr>
        <w:spacing w:line="560" w:lineRule="exact"/>
        <w:ind w:firstLine="642" w:firstLineChars="200"/>
        <w:rPr>
          <w:rFonts w:ascii="方正仿宋_GBK" w:hAnsi="仿宋" w:eastAsia="方正仿宋_GBK"/>
          <w:sz w:val="32"/>
          <w:szCs w:val="32"/>
        </w:rPr>
      </w:pPr>
      <w:r>
        <w:rPr>
          <w:rFonts w:hint="eastAsia" w:ascii="方正仿宋_GBK" w:hAnsi="仿宋" w:eastAsia="方正仿宋_GBK"/>
          <w:b/>
          <w:bCs/>
          <w:sz w:val="32"/>
          <w:szCs w:val="32"/>
        </w:rPr>
        <w:t>（1）规范推进国省干线公路管养。</w:t>
      </w:r>
      <w:r>
        <w:rPr>
          <w:rFonts w:hint="eastAsia" w:ascii="方正仿宋_GBK" w:hAnsi="仿宋" w:eastAsia="方正仿宋_GBK"/>
          <w:sz w:val="32"/>
          <w:szCs w:val="32"/>
        </w:rPr>
        <w:t>一是不断加强日常管养。常态化落实国省干线公路日常巡查、保养和小修制度，规范落实桥梁管理制度，完成了</w:t>
      </w:r>
      <w:r>
        <w:rPr>
          <w:rFonts w:hint="default" w:ascii="Times New Roman" w:hAnsi="Times New Roman" w:eastAsia="方正仿宋_GBK" w:cs="Times New Roman"/>
          <w:sz w:val="32"/>
          <w:szCs w:val="32"/>
        </w:rPr>
        <w:t>2020</w:t>
      </w:r>
      <w:r>
        <w:rPr>
          <w:rFonts w:hint="eastAsia" w:ascii="方正仿宋_GBK" w:hAnsi="仿宋" w:eastAsia="方正仿宋_GBK"/>
          <w:sz w:val="32"/>
          <w:szCs w:val="32"/>
        </w:rPr>
        <w:t>年</w:t>
      </w:r>
      <w:r>
        <w:rPr>
          <w:rFonts w:hint="eastAsia" w:ascii="Times New Roman" w:hAnsi="Times New Roman" w:eastAsia="方正仿宋_GBK" w:cs="Times New Roman"/>
          <w:sz w:val="32"/>
          <w:szCs w:val="32"/>
        </w:rPr>
        <w:t>桥梁定期检查结果复核认定，完成2021年桥梁定期检查工作，采取罩面、灌缝、坑凼修补等措施整治134公里国道非优路段，顺利完成交通运输部路况监测工作。二是加快推进国省干线公路养护工程。截至12月底，实施完成养护工程54.9公里，完成设计批复27.8公里，预计到2022年2月底能完成全部82.7公里目标任务。三是加强养护项目计划申报。积极加强与省交通运输厅和省厅公路局沟通争取，全市67.92公里养护工程、12座农村公路危桥纳入2022年项目规划库。四是全面落实养护环保相关要求。高度重视环保工作，将环保工作纳入中心党支部支委会议题，定期开展环保巡查，指导各县（区）公路养护部门落实养护材料存放、养护机具清洗、维修污水处理、路面扬尘管理、路基边沟排水、养护作业废料处理、回收利用等方面环保工作要求。</w:t>
      </w:r>
    </w:p>
    <w:p>
      <w:pPr>
        <w:spacing w:line="560" w:lineRule="exact"/>
        <w:ind w:firstLine="642" w:firstLineChars="200"/>
        <w:rPr>
          <w:rFonts w:hint="default" w:ascii="Times New Roman" w:hAnsi="Times New Roman" w:eastAsia="方正仿宋_GBK" w:cs="Times New Roman"/>
          <w:sz w:val="32"/>
          <w:szCs w:val="32"/>
        </w:rPr>
      </w:pPr>
      <w:r>
        <w:rPr>
          <w:rFonts w:hint="eastAsia" w:ascii="方正仿宋_GBK" w:hAnsi="仿宋" w:eastAsia="方正仿宋_GBK"/>
          <w:b/>
          <w:bCs/>
          <w:sz w:val="32"/>
          <w:szCs w:val="32"/>
        </w:rPr>
        <w:t>（2）全面开展农村公路品质提升。</w:t>
      </w:r>
      <w:r>
        <w:rPr>
          <w:rFonts w:hint="eastAsia" w:ascii="方正仿宋_GBK" w:hAnsi="仿宋" w:eastAsia="方正仿宋_GBK"/>
          <w:sz w:val="32"/>
          <w:szCs w:val="32"/>
        </w:rPr>
        <w:t>一是加快推进项目建设。我中心通过成立专班，分解目标任务、加强督促指导、配合落实周调度、月督查、季考核方式，加快各项农村公路建设任务，截至</w:t>
      </w:r>
      <w:r>
        <w:rPr>
          <w:rFonts w:hint="default" w:ascii="Times New Roman" w:hAnsi="Times New Roman" w:eastAsia="方正仿宋_GBK" w:cs="Times New Roman"/>
          <w:sz w:val="32"/>
          <w:szCs w:val="32"/>
        </w:rPr>
        <w:t>10</w:t>
      </w:r>
      <w:r>
        <w:rPr>
          <w:rFonts w:hint="eastAsia" w:ascii="方正仿宋_GBK" w:hAnsi="仿宋" w:eastAsia="方正仿宋_GBK"/>
          <w:sz w:val="32"/>
          <w:szCs w:val="32"/>
        </w:rPr>
        <w:t>月中</w:t>
      </w:r>
      <w:r>
        <w:rPr>
          <w:rFonts w:hint="eastAsia" w:ascii="Times New Roman" w:hAnsi="Times New Roman" w:eastAsia="方正仿宋_GBK" w:cs="Times New Roman"/>
          <w:sz w:val="32"/>
          <w:szCs w:val="32"/>
        </w:rPr>
        <w:t>旬，农村公路品质提升三年行动已实现开工项目91个313.1公里，完工44.7公里，完成投资约6.25亿元，预计能完成年度“开工500公里、完工300公里、完成投资12亿元”目标任务；撤并建制村畅通工程计划中新改建农村公路114.4公里，已全部完工；实现撤并村直连道路100.0%硬化目标；产业路旅游路工程3个项目27.1公里，已全部完工。二是加强政策制定。市政府层面先后印发《资阳市深化农村公路管理养护体制改革推进方案》《资阳市全域“四好农村路”示范市创建方案》《资阳市提升农村交通运输服务水平工作方案》，为全市“十四五”期农村公路建管养运协调发展提供了政策支持和理论指导。三是全面推进农村公路管养体制改革。我中心以加快构建长效稳定的管理保障体系为目标，一年来，管养工作机制不断完善、保障持续加强、效果明显提升，路长制工作全面推行，成效明显。全市11450公里农村公路已全部纳入养护范围，列养率实现100.0%；971座农村公路桥梁全部纳入县级公路管理机构养护，桥梁专养率达到100.0%。一二三类桥梁占比达到99.0%。四是全力推进四川省“四好农村路”示范县创建工作。2021年11月12日，四川省人民政府办公厅《关于公布第五批“四好农村路”省级示范县名单的通知》（川办函〔2021〕81号）正式认定我市乐至县为第五批“四好农村路”省级示范县，至此，我市已有2个县被认定为四川省“四好农村路”示范县，占比达到67.0%。</w:t>
      </w:r>
    </w:p>
    <w:p>
      <w:pPr>
        <w:spacing w:line="560" w:lineRule="exact"/>
        <w:ind w:firstLine="642" w:firstLineChars="200"/>
        <w:jc w:val="left"/>
        <w:rPr>
          <w:rFonts w:ascii="方正仿宋_GBK" w:eastAsia="方正仿宋_GBK"/>
          <w:b/>
          <w:sz w:val="32"/>
          <w:szCs w:val="32"/>
        </w:rPr>
      </w:pPr>
      <w:r>
        <w:rPr>
          <w:rFonts w:hint="eastAsia" w:ascii="方正仿宋_GBK" w:eastAsia="方正仿宋_GBK"/>
          <w:b/>
          <w:sz w:val="32"/>
          <w:szCs w:val="32"/>
        </w:rPr>
        <w:t>2．部门履职有效性</w:t>
      </w:r>
    </w:p>
    <w:p>
      <w:pPr>
        <w:spacing w:line="56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我中心制定了切实有效的内部管理制度和经费支出控制方案，有较强的内控风险管理意识、各项经费支出得到了有效控制。年初对照年度目标任务及时进行分解细化，采用倒排工期的方式加强进度和质量监管；年中在预算支出方面，根据工程进度以及业务科室的建议分期分批下拨经费；年末按照工程项目的有关管理办法对该项目进行竣工验收，确保工程质量。</w:t>
      </w:r>
    </w:p>
    <w:p>
      <w:pPr>
        <w:spacing w:line="560" w:lineRule="exact"/>
        <w:ind w:firstLine="642" w:firstLineChars="200"/>
        <w:jc w:val="left"/>
        <w:rPr>
          <w:rFonts w:ascii="方正仿宋_GBK" w:eastAsia="方正仿宋_GBK"/>
          <w:b/>
          <w:sz w:val="32"/>
          <w:szCs w:val="32"/>
        </w:rPr>
      </w:pPr>
      <w:r>
        <w:rPr>
          <w:rFonts w:hint="eastAsia" w:ascii="方正仿宋_GBK" w:eastAsia="方正仿宋_GBK"/>
          <w:b/>
          <w:sz w:val="32"/>
          <w:szCs w:val="32"/>
        </w:rPr>
        <w:t>3．部门职能实现程度</w:t>
      </w:r>
    </w:p>
    <w:p>
      <w:pPr>
        <w:spacing w:line="560" w:lineRule="exact"/>
        <w:ind w:firstLine="640" w:firstLineChars="200"/>
        <w:rPr>
          <w:rFonts w:hint="default" w:ascii="Times New Roman" w:hAnsi="Times New Roman" w:eastAsia="方正仿宋_GBK" w:cs="Times New Roman"/>
          <w:sz w:val="32"/>
          <w:szCs w:val="32"/>
        </w:rPr>
      </w:pPr>
      <w:r>
        <w:rPr>
          <w:rFonts w:hint="eastAsia" w:ascii="方正仿宋_GBK" w:hAnsi="仿宋" w:eastAsia="方正仿宋_GBK"/>
          <w:sz w:val="32"/>
          <w:szCs w:val="32"/>
        </w:rPr>
        <w:t>在上级部门的领导下，通过全系统干部职工的共同努力，全面完成了</w:t>
      </w:r>
      <w:r>
        <w:rPr>
          <w:rFonts w:hint="default" w:ascii="Times New Roman" w:hAnsi="Times New Roman" w:eastAsia="方正仿宋_GBK" w:cs="Times New Roman"/>
          <w:sz w:val="32"/>
          <w:szCs w:val="32"/>
        </w:rPr>
        <w:t>2020</w:t>
      </w:r>
      <w:r>
        <w:rPr>
          <w:rFonts w:hint="eastAsia" w:ascii="方正仿宋_GBK" w:hAnsi="仿宋" w:eastAsia="方正仿宋_GBK"/>
          <w:sz w:val="32"/>
          <w:szCs w:val="32"/>
        </w:rPr>
        <w:t>年目标任务，各方面都取得了很大的成效。</w:t>
      </w:r>
      <w:r>
        <w:rPr>
          <w:rFonts w:hint="eastAsia" w:ascii="方正仿宋_GBK" w:eastAsia="方正仿宋_GBK"/>
          <w:b/>
          <w:bCs/>
          <w:sz w:val="32"/>
          <w:szCs w:val="32"/>
        </w:rPr>
        <w:t>一是</w:t>
      </w:r>
      <w:r>
        <w:rPr>
          <w:rFonts w:hint="eastAsia" w:ascii="方正仿宋_GBK" w:hAnsi="仿宋" w:eastAsia="方正仿宋_GBK"/>
          <w:b/>
          <w:bCs/>
          <w:sz w:val="32"/>
          <w:szCs w:val="32"/>
        </w:rPr>
        <w:t>不断加强日常管养。</w:t>
      </w:r>
      <w:r>
        <w:rPr>
          <w:rFonts w:hint="eastAsia" w:ascii="方正仿宋_GBK" w:hAnsi="仿宋" w:eastAsia="方正仿宋_GBK"/>
          <w:sz w:val="32"/>
          <w:szCs w:val="32"/>
        </w:rPr>
        <w:t>常态化落实国省干线公路日常巡查、保养和小修制度，规范落实桥梁管理制度，</w:t>
      </w:r>
      <w:r>
        <w:rPr>
          <w:rFonts w:hint="eastAsia" w:ascii="Times New Roman" w:hAnsi="Times New Roman" w:eastAsia="方正仿宋_GBK" w:cs="Times New Roman"/>
          <w:sz w:val="32"/>
          <w:szCs w:val="32"/>
        </w:rPr>
        <w:t>完成2021年桥梁定期检查工作，采取罩面、灌缝、坑凼修补等措施整治134公里国道非优路段，顺利完成交通运输部路况监测工作。加快推进国省干线公路养护工程。截至12月底，实施完成养护工程54.9公里，完成设计批复27.8公里，预计到2022年2月底能完成全部82.7公里目标任务。加强养护项目计划申报。积极加强与省交通运输厅和省厅公路局沟通争取，全市67.92公里养护工程、12座农村公路危桥纳入2022年项目规划库；新建1处公路养护与应急中心、9个（新建综合服务区3个，一般服务区1个，远期规划5个）、2个养护站改造项目等国省干线服务设施已纳入省级“十四五”规划项目库。</w:t>
      </w:r>
      <w:r>
        <w:rPr>
          <w:rFonts w:hint="eastAsia" w:ascii="方正仿宋_GBK" w:eastAsia="方正仿宋_GBK"/>
          <w:b/>
          <w:bCs/>
          <w:sz w:val="32"/>
          <w:szCs w:val="32"/>
        </w:rPr>
        <w:t>二是</w:t>
      </w:r>
      <w:r>
        <w:rPr>
          <w:rFonts w:hint="eastAsia" w:ascii="方正仿宋_GBK" w:hAnsi="仿宋" w:eastAsia="方正仿宋_GBK"/>
          <w:b/>
          <w:bCs/>
          <w:sz w:val="32"/>
          <w:szCs w:val="32"/>
        </w:rPr>
        <w:t>全面开展农村公路品质提升。</w:t>
      </w:r>
      <w:r>
        <w:rPr>
          <w:rFonts w:hint="eastAsia" w:ascii="方正仿宋_GBK" w:hAnsi="仿宋" w:eastAsia="方正仿宋_GBK"/>
          <w:sz w:val="32"/>
          <w:szCs w:val="32"/>
        </w:rPr>
        <w:t>加快推进项目建设。我中心通过成立专班，分解目标任务、加强督促指导、配合落实周调度、月督查、季考核方式，加快各项农村公路建设任务，截至</w:t>
      </w:r>
      <w:r>
        <w:rPr>
          <w:rFonts w:hint="default" w:ascii="Times New Roman" w:hAnsi="Times New Roman" w:eastAsia="方正仿宋_GBK" w:cs="Times New Roman"/>
          <w:sz w:val="32"/>
          <w:szCs w:val="32"/>
        </w:rPr>
        <w:t>10</w:t>
      </w:r>
      <w:r>
        <w:rPr>
          <w:rFonts w:hint="eastAsia" w:ascii="方正仿宋_GBK" w:hAnsi="仿宋" w:eastAsia="方正仿宋_GBK"/>
          <w:sz w:val="32"/>
          <w:szCs w:val="32"/>
        </w:rPr>
        <w:t>月中旬，农</w:t>
      </w:r>
      <w:r>
        <w:rPr>
          <w:rFonts w:hint="eastAsia" w:ascii="Times New Roman" w:hAnsi="Times New Roman" w:eastAsia="方正仿宋_GBK" w:cs="Times New Roman"/>
          <w:sz w:val="32"/>
          <w:szCs w:val="32"/>
        </w:rPr>
        <w:t>村公路品质提升三年行动已实现开工项目91个313.1公里，完工44.7公里，完成投资约6.25亿元，预计能完成年度“开工500公里、完工300公里、完成投资12亿元”目标任务；撤并建制村畅通工程计划中新改建农村公路114.4公里，已全部完工；实现撤并村直连道路100.0%硬化目标；产业路旅游路工程3个项目27.1公里，已全部完工。全面推进农村公路管养体制改革。我中心以加快构建长效稳定的管理保障体系为目标，一年来，管养工作机制不断完善、保障持续加强、效果明显提升，路长制工作全面推行，成效明显。全市11450公里农村公路已全部纳入养护范围，列养率实现100.0%；971座农村公路桥梁全部纳入县级公路管理机构养护，桥梁专养率达到100.0%。全市农村公路优良中等路率达到74.2%，一二三类桥梁占比达到99.0%。</w:t>
      </w:r>
    </w:p>
    <w:p>
      <w:pPr>
        <w:spacing w:line="560" w:lineRule="exact"/>
        <w:ind w:firstLine="640" w:firstLineChars="200"/>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六、问题分析</w:t>
      </w:r>
    </w:p>
    <w:p>
      <w:pPr>
        <w:spacing w:line="560" w:lineRule="exact"/>
        <w:ind w:firstLine="642" w:firstLineChars="200"/>
        <w:rPr>
          <w:rFonts w:ascii="方正仿宋_GBK" w:hAnsi="仿宋" w:eastAsia="方正仿宋_GBK"/>
          <w:sz w:val="32"/>
          <w:szCs w:val="32"/>
        </w:rPr>
      </w:pPr>
      <w:r>
        <w:rPr>
          <w:rFonts w:hint="eastAsia" w:ascii="方正楷体_GBK" w:hAnsi="方正楷体_GBK" w:eastAsia="方正楷体_GBK" w:cs="方正楷体_GBK"/>
          <w:b/>
          <w:bCs/>
          <w:sz w:val="32"/>
          <w:szCs w:val="32"/>
        </w:rPr>
        <w:t>(一)国省干线日常养护及小修保养经费投入不足。</w:t>
      </w:r>
      <w:r>
        <w:rPr>
          <w:rFonts w:hint="eastAsia" w:ascii="方正仿宋_GBK" w:hAnsi="仿宋" w:eastAsia="方正仿宋_GBK"/>
          <w:sz w:val="32"/>
          <w:szCs w:val="32"/>
        </w:rPr>
        <w:t>各县（区）均未将日常养护及保养经费</w:t>
      </w:r>
      <w:r>
        <w:rPr>
          <w:rFonts w:hint="eastAsia" w:ascii="方正仿宋_GBK" w:hAnsi="仿宋" w:eastAsia="方正仿宋_GBK"/>
          <w:sz w:val="32"/>
          <w:szCs w:val="32"/>
          <w:lang w:eastAsia="zh-CN"/>
        </w:rPr>
        <w:t>足额</w:t>
      </w:r>
      <w:r>
        <w:rPr>
          <w:rFonts w:hint="eastAsia" w:ascii="方正仿宋_GBK" w:hAnsi="仿宋" w:eastAsia="方正仿宋_GBK"/>
          <w:sz w:val="32"/>
          <w:szCs w:val="32"/>
        </w:rPr>
        <w:t>纳入年初预算，导致路面、路基、桥涵小病害不能得到及时处理，小病害变成大问题，</w:t>
      </w:r>
      <w:r>
        <w:rPr>
          <w:rFonts w:hint="eastAsia" w:ascii="方正仿宋_GBK" w:hAnsi="仿宋" w:eastAsia="方正仿宋_GBK"/>
          <w:sz w:val="32"/>
          <w:szCs w:val="32"/>
          <w:lang w:eastAsia="zh-CN"/>
        </w:rPr>
        <w:t>造成</w:t>
      </w:r>
      <w:r>
        <w:rPr>
          <w:rFonts w:hint="eastAsia" w:ascii="方正仿宋_GBK" w:hAnsi="仿宋" w:eastAsia="方正仿宋_GBK"/>
          <w:sz w:val="32"/>
          <w:szCs w:val="32"/>
        </w:rPr>
        <w:t>路况</w:t>
      </w:r>
      <w:r>
        <w:rPr>
          <w:rFonts w:hint="eastAsia" w:ascii="方正仿宋_GBK" w:hAnsi="仿宋" w:eastAsia="方正仿宋_GBK"/>
          <w:sz w:val="32"/>
          <w:szCs w:val="32"/>
          <w:lang w:eastAsia="zh-CN"/>
        </w:rPr>
        <w:t>快速</w:t>
      </w:r>
      <w:r>
        <w:rPr>
          <w:rFonts w:hint="eastAsia" w:ascii="方正仿宋_GBK" w:hAnsi="仿宋" w:eastAsia="方正仿宋_GBK"/>
          <w:sz w:val="32"/>
          <w:szCs w:val="32"/>
        </w:rPr>
        <w:t>下降，产生行车安全隐患，也大大缩短公路运行周期，降低公路耐久性，提高公路维修成本。</w:t>
      </w:r>
    </w:p>
    <w:p>
      <w:pPr>
        <w:spacing w:line="560" w:lineRule="exact"/>
        <w:ind w:firstLine="642" w:firstLineChars="200"/>
        <w:rPr>
          <w:rFonts w:ascii="方正仿宋_GBK" w:hAnsi="仿宋" w:eastAsia="方正仿宋_GBK"/>
          <w:sz w:val="32"/>
          <w:szCs w:val="32"/>
        </w:rPr>
      </w:pPr>
      <w:r>
        <w:rPr>
          <w:rFonts w:hint="eastAsia" w:ascii="方正楷体_GBK" w:hAnsi="方正楷体_GBK" w:eastAsia="方正楷体_GBK" w:cs="方正楷体_GBK"/>
          <w:b/>
          <w:bCs/>
          <w:sz w:val="32"/>
          <w:szCs w:val="32"/>
        </w:rPr>
        <w:t>（二）机械操作人员缺乏。</w:t>
      </w:r>
      <w:r>
        <w:rPr>
          <w:rFonts w:hint="eastAsia" w:ascii="方正仿宋_GBK" w:hAnsi="仿宋" w:eastAsia="方正仿宋_GBK"/>
          <w:sz w:val="32"/>
          <w:szCs w:val="32"/>
        </w:rPr>
        <w:t>目前我市两县一区都建立了养护和应急保通中心，配备了养护机械，但因操作技术人员缺乏，机械使用率不高。</w:t>
      </w:r>
    </w:p>
    <w:p>
      <w:pPr>
        <w:spacing w:line="560" w:lineRule="exact"/>
        <w:ind w:firstLine="640" w:firstLineChars="200"/>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七、工作建议</w:t>
      </w:r>
    </w:p>
    <w:p>
      <w:pPr>
        <w:spacing w:line="560" w:lineRule="exact"/>
        <w:ind w:firstLine="640" w:firstLineChars="200"/>
        <w:jc w:val="left"/>
        <w:rPr>
          <w:rFonts w:hint="eastAsia" w:ascii="方正仿宋_GBK" w:eastAsia="方正仿宋_GBK"/>
          <w:sz w:val="32"/>
          <w:szCs w:val="32"/>
        </w:rPr>
      </w:pPr>
      <w:r>
        <w:rPr>
          <w:rFonts w:hint="eastAsia" w:ascii="方正仿宋_GBK" w:hAnsi="仿宋" w:eastAsia="方正仿宋_GBK"/>
          <w:sz w:val="32"/>
          <w:szCs w:val="32"/>
        </w:rPr>
        <w:t>升级省道的桥梁大部分桥护栏存在防护等级不达标的情况，按照交通部的要求，需要进行专项整治，但各县（区）缺少专项整治经费</w:t>
      </w:r>
      <w:r>
        <w:rPr>
          <w:rFonts w:hint="eastAsia" w:ascii="方正仿宋_GBK" w:eastAsia="方正仿宋_GBK"/>
          <w:sz w:val="32"/>
          <w:szCs w:val="32"/>
        </w:rPr>
        <w:t>。</w:t>
      </w: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spacing w:line="620" w:lineRule="exact"/>
        <w:jc w:val="left"/>
        <w:rPr>
          <w:rFonts w:eastAsia="方正黑体简体"/>
          <w:kern w:val="0"/>
          <w:sz w:val="32"/>
          <w:szCs w:val="32"/>
        </w:rPr>
      </w:pPr>
    </w:p>
    <w:p>
      <w:pPr>
        <w:spacing w:line="620" w:lineRule="exact"/>
        <w:jc w:val="left"/>
        <w:rPr>
          <w:rFonts w:eastAsia="方正黑体简体"/>
          <w:kern w:val="0"/>
          <w:sz w:val="32"/>
          <w:szCs w:val="32"/>
        </w:rPr>
      </w:pPr>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年度市本级部门整体支出绩效自评计分表</w:t>
      </w:r>
    </w:p>
    <w:p>
      <w:pPr>
        <w:spacing w:line="620" w:lineRule="exact"/>
        <w:rPr>
          <w:rFonts w:eastAsia="方正小标宋简体"/>
          <w:color w:val="000000"/>
          <w:kern w:val="0"/>
          <w:szCs w:val="21"/>
        </w:rPr>
      </w:pPr>
      <w:r>
        <w:rPr>
          <w:rFonts w:eastAsia="方正小标宋简体"/>
          <w:color w:val="000000"/>
          <w:kern w:val="0"/>
          <w:szCs w:val="21"/>
        </w:rPr>
        <w:t>部门（单位）名称</w:t>
      </w:r>
      <w:r>
        <w:rPr>
          <w:rFonts w:hint="default" w:eastAsia="方正小标宋简体"/>
          <w:color w:val="000000"/>
          <w:kern w:val="0"/>
          <w:szCs w:val="21"/>
          <w:lang w:val="en"/>
        </w:rPr>
        <w:t>:</w:t>
      </w:r>
      <w:r>
        <w:rPr>
          <w:rFonts w:hint="eastAsia" w:eastAsia="方正小标宋简体"/>
          <w:color w:val="000000"/>
          <w:kern w:val="0"/>
          <w:szCs w:val="21"/>
          <w:lang w:val="en" w:eastAsia="zh-CN"/>
        </w:rPr>
        <w:t>资阳市公路事业发展中心</w:t>
      </w:r>
      <w:r>
        <w:rPr>
          <w:rFonts w:eastAsia="方正小标宋简体"/>
          <w:color w:val="000000"/>
          <w:kern w:val="0"/>
          <w:szCs w:val="21"/>
        </w:rPr>
        <w:t xml:space="preserve">   </w:t>
      </w:r>
      <w:r>
        <w:rPr>
          <w:rFonts w:hint="eastAsia" w:eastAsia="方正小标宋简体"/>
          <w:color w:val="000000"/>
          <w:kern w:val="0"/>
          <w:szCs w:val="21"/>
          <w:lang w:val="en-US" w:eastAsia="zh-CN"/>
        </w:rPr>
        <w:t xml:space="preserve"> </w:t>
      </w:r>
      <w:r>
        <w:rPr>
          <w:rFonts w:eastAsia="方正小标宋简体"/>
          <w:color w:val="000000"/>
          <w:kern w:val="0"/>
          <w:szCs w:val="21"/>
        </w:rPr>
        <w:t>预算单位编码：</w:t>
      </w:r>
      <w:r>
        <w:rPr>
          <w:rFonts w:hint="eastAsia" w:eastAsia="方正小标宋简体"/>
          <w:color w:val="000000"/>
          <w:kern w:val="0"/>
          <w:szCs w:val="21"/>
        </w:rPr>
        <w:t>161102</w:t>
      </w:r>
      <w:r>
        <w:rPr>
          <w:rFonts w:eastAsia="方正小标宋简体"/>
          <w:color w:val="000000"/>
          <w:kern w:val="0"/>
          <w:szCs w:val="21"/>
        </w:rPr>
        <w:t xml:space="preserve">  </w:t>
      </w:r>
      <w:bookmarkStart w:id="72" w:name="_GoBack"/>
      <w:bookmarkEnd w:id="72"/>
      <w:r>
        <w:rPr>
          <w:rFonts w:eastAsia="方正小标宋简体"/>
          <w:color w:val="000000"/>
          <w:kern w:val="0"/>
          <w:szCs w:val="21"/>
        </w:rPr>
        <w:t xml:space="preserve">   自评等级：</w:t>
      </w:r>
      <w:r>
        <w:rPr>
          <w:rFonts w:hint="eastAsia" w:eastAsia="方正小标宋简体"/>
          <w:color w:val="000000"/>
          <w:kern w:val="0"/>
          <w:szCs w:val="21"/>
        </w:rPr>
        <w:t>良</w:t>
      </w:r>
    </w:p>
    <w:tbl>
      <w:tblPr>
        <w:tblStyle w:val="10"/>
        <w:tblW w:w="5535" w:type="pct"/>
        <w:tblInd w:w="-176" w:type="dxa"/>
        <w:tblLayout w:type="fixed"/>
        <w:tblCellMar>
          <w:top w:w="0" w:type="dxa"/>
          <w:left w:w="108" w:type="dxa"/>
          <w:bottom w:w="0" w:type="dxa"/>
          <w:right w:w="108" w:type="dxa"/>
        </w:tblCellMar>
      </w:tblPr>
      <w:tblGrid>
        <w:gridCol w:w="534"/>
        <w:gridCol w:w="536"/>
        <w:gridCol w:w="615"/>
        <w:gridCol w:w="1434"/>
        <w:gridCol w:w="1843"/>
        <w:gridCol w:w="851"/>
        <w:gridCol w:w="3621"/>
      </w:tblGrid>
      <w:tr>
        <w:tblPrEx>
          <w:tblCellMar>
            <w:top w:w="0" w:type="dxa"/>
            <w:left w:w="108" w:type="dxa"/>
            <w:bottom w:w="0" w:type="dxa"/>
            <w:right w:w="108" w:type="dxa"/>
          </w:tblCellMar>
        </w:tblPrEx>
        <w:trPr>
          <w:trHeight w:val="660" w:hRule="atLeast"/>
          <w:tblHeader/>
        </w:trPr>
        <w:tc>
          <w:tcPr>
            <w:tcW w:w="2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spacing w:val="-20"/>
                <w:kern w:val="0"/>
                <w:sz w:val="20"/>
                <w:szCs w:val="20"/>
              </w:rPr>
            </w:pPr>
            <w:r>
              <w:rPr>
                <w:b/>
                <w:bCs/>
                <w:spacing w:val="-20"/>
                <w:kern w:val="0"/>
                <w:sz w:val="20"/>
                <w:szCs w:val="20"/>
              </w:rPr>
              <w:t>一级指标</w:t>
            </w:r>
          </w:p>
        </w:tc>
        <w:tc>
          <w:tcPr>
            <w:tcW w:w="284" w:type="pct"/>
            <w:tcBorders>
              <w:top w:val="single" w:color="auto" w:sz="4" w:space="0"/>
              <w:left w:val="nil"/>
              <w:bottom w:val="single" w:color="auto" w:sz="4" w:space="0"/>
              <w:right w:val="single" w:color="auto" w:sz="4" w:space="0"/>
            </w:tcBorders>
            <w:shd w:val="clear" w:color="auto" w:fill="auto"/>
            <w:vAlign w:val="center"/>
          </w:tcPr>
          <w:p>
            <w:pPr>
              <w:widowControl/>
              <w:jc w:val="center"/>
              <w:rPr>
                <w:b/>
                <w:bCs/>
                <w:spacing w:val="-20"/>
                <w:kern w:val="0"/>
                <w:sz w:val="20"/>
                <w:szCs w:val="20"/>
              </w:rPr>
            </w:pPr>
            <w:r>
              <w:rPr>
                <w:b/>
                <w:bCs/>
                <w:spacing w:val="-20"/>
                <w:kern w:val="0"/>
                <w:sz w:val="20"/>
                <w:szCs w:val="20"/>
              </w:rPr>
              <w:t>二级指标</w:t>
            </w:r>
          </w:p>
        </w:tc>
        <w:tc>
          <w:tcPr>
            <w:tcW w:w="326" w:type="pct"/>
            <w:tcBorders>
              <w:top w:val="single" w:color="auto" w:sz="4" w:space="0"/>
              <w:left w:val="nil"/>
              <w:bottom w:val="single" w:color="auto" w:sz="4" w:space="0"/>
              <w:right w:val="single" w:color="auto" w:sz="4" w:space="0"/>
            </w:tcBorders>
            <w:shd w:val="clear" w:color="auto" w:fill="auto"/>
            <w:vAlign w:val="center"/>
          </w:tcPr>
          <w:p>
            <w:pPr>
              <w:widowControl/>
              <w:jc w:val="center"/>
              <w:rPr>
                <w:b/>
                <w:bCs/>
                <w:spacing w:val="-20"/>
                <w:kern w:val="0"/>
                <w:sz w:val="20"/>
                <w:szCs w:val="20"/>
              </w:rPr>
            </w:pPr>
            <w:r>
              <w:rPr>
                <w:b/>
                <w:bCs/>
                <w:spacing w:val="-20"/>
                <w:kern w:val="0"/>
                <w:sz w:val="20"/>
                <w:szCs w:val="20"/>
              </w:rPr>
              <w:t>三级指标</w:t>
            </w:r>
          </w:p>
        </w:tc>
        <w:tc>
          <w:tcPr>
            <w:tcW w:w="760" w:type="pct"/>
            <w:tcBorders>
              <w:top w:val="single" w:color="auto" w:sz="4" w:space="0"/>
              <w:left w:val="nil"/>
              <w:bottom w:val="single" w:color="auto" w:sz="4" w:space="0"/>
              <w:right w:val="single" w:color="auto" w:sz="4" w:space="0"/>
            </w:tcBorders>
            <w:shd w:val="clear" w:color="auto" w:fill="auto"/>
            <w:vAlign w:val="center"/>
          </w:tcPr>
          <w:p>
            <w:pPr>
              <w:widowControl/>
              <w:jc w:val="center"/>
              <w:rPr>
                <w:b/>
                <w:bCs/>
                <w:spacing w:val="-20"/>
                <w:kern w:val="0"/>
                <w:sz w:val="20"/>
                <w:szCs w:val="20"/>
              </w:rPr>
            </w:pPr>
            <w:r>
              <w:rPr>
                <w:b/>
                <w:bCs/>
                <w:spacing w:val="-20"/>
                <w:kern w:val="0"/>
                <w:sz w:val="20"/>
                <w:szCs w:val="20"/>
              </w:rPr>
              <w:t>指标解释</w:t>
            </w:r>
          </w:p>
        </w:tc>
        <w:tc>
          <w:tcPr>
            <w:tcW w:w="977" w:type="pct"/>
            <w:tcBorders>
              <w:top w:val="single" w:color="auto" w:sz="4" w:space="0"/>
              <w:left w:val="nil"/>
              <w:bottom w:val="single" w:color="auto" w:sz="4" w:space="0"/>
              <w:right w:val="single" w:color="auto" w:sz="4" w:space="0"/>
            </w:tcBorders>
            <w:shd w:val="clear" w:color="auto" w:fill="auto"/>
            <w:vAlign w:val="center"/>
          </w:tcPr>
          <w:p>
            <w:pPr>
              <w:widowControl/>
              <w:jc w:val="center"/>
              <w:rPr>
                <w:b/>
                <w:bCs/>
                <w:spacing w:val="-20"/>
                <w:kern w:val="0"/>
                <w:sz w:val="20"/>
                <w:szCs w:val="20"/>
              </w:rPr>
            </w:pPr>
            <w:r>
              <w:rPr>
                <w:b/>
                <w:bCs/>
                <w:spacing w:val="-20"/>
                <w:kern w:val="0"/>
                <w:sz w:val="20"/>
                <w:szCs w:val="20"/>
              </w:rPr>
              <w:t>指标说明(评价计分标准）</w:t>
            </w:r>
          </w:p>
        </w:tc>
        <w:tc>
          <w:tcPr>
            <w:tcW w:w="451" w:type="pct"/>
            <w:tcBorders>
              <w:top w:val="single" w:color="auto" w:sz="4" w:space="0"/>
              <w:left w:val="nil"/>
              <w:bottom w:val="single" w:color="auto" w:sz="4" w:space="0"/>
              <w:right w:val="single" w:color="auto" w:sz="4" w:space="0"/>
            </w:tcBorders>
            <w:shd w:val="clear" w:color="auto" w:fill="auto"/>
            <w:vAlign w:val="center"/>
          </w:tcPr>
          <w:p>
            <w:pPr>
              <w:widowControl/>
              <w:jc w:val="center"/>
              <w:rPr>
                <w:b/>
                <w:bCs/>
                <w:spacing w:val="-20"/>
                <w:kern w:val="0"/>
                <w:sz w:val="20"/>
                <w:szCs w:val="20"/>
              </w:rPr>
            </w:pPr>
            <w:r>
              <w:rPr>
                <w:b/>
                <w:bCs/>
                <w:spacing w:val="-20"/>
                <w:kern w:val="0"/>
                <w:sz w:val="20"/>
                <w:szCs w:val="20"/>
              </w:rPr>
              <w:t>自评</w:t>
            </w:r>
          </w:p>
          <w:p>
            <w:pPr>
              <w:widowControl/>
              <w:jc w:val="center"/>
              <w:rPr>
                <w:b/>
                <w:bCs/>
                <w:spacing w:val="-20"/>
                <w:kern w:val="0"/>
                <w:sz w:val="20"/>
                <w:szCs w:val="20"/>
              </w:rPr>
            </w:pPr>
            <w:r>
              <w:rPr>
                <w:b/>
                <w:bCs/>
                <w:spacing w:val="-20"/>
                <w:kern w:val="0"/>
                <w:sz w:val="20"/>
                <w:szCs w:val="20"/>
              </w:rPr>
              <w:t>分数</w:t>
            </w:r>
          </w:p>
        </w:tc>
        <w:tc>
          <w:tcPr>
            <w:tcW w:w="1919" w:type="pct"/>
            <w:tcBorders>
              <w:top w:val="single" w:color="auto" w:sz="4" w:space="0"/>
              <w:left w:val="nil"/>
              <w:bottom w:val="single" w:color="auto" w:sz="4" w:space="0"/>
              <w:right w:val="single" w:color="auto" w:sz="4" w:space="0"/>
            </w:tcBorders>
            <w:shd w:val="clear" w:color="auto" w:fill="auto"/>
            <w:vAlign w:val="center"/>
          </w:tcPr>
          <w:p>
            <w:pPr>
              <w:widowControl/>
              <w:jc w:val="center"/>
              <w:rPr>
                <w:b/>
                <w:bCs/>
                <w:spacing w:val="-20"/>
                <w:kern w:val="0"/>
                <w:sz w:val="20"/>
                <w:szCs w:val="20"/>
              </w:rPr>
            </w:pPr>
            <w:r>
              <w:rPr>
                <w:b/>
                <w:bCs/>
                <w:spacing w:val="-20"/>
                <w:kern w:val="0"/>
                <w:sz w:val="20"/>
                <w:szCs w:val="20"/>
              </w:rPr>
              <w:t>自评</w:t>
            </w:r>
          </w:p>
          <w:p>
            <w:pPr>
              <w:widowControl/>
              <w:jc w:val="center"/>
              <w:rPr>
                <w:b/>
                <w:bCs/>
                <w:spacing w:val="-20"/>
                <w:kern w:val="0"/>
                <w:sz w:val="20"/>
                <w:szCs w:val="20"/>
              </w:rPr>
            </w:pPr>
            <w:r>
              <w:rPr>
                <w:b/>
                <w:bCs/>
                <w:spacing w:val="-20"/>
                <w:kern w:val="0"/>
                <w:sz w:val="20"/>
                <w:szCs w:val="20"/>
              </w:rPr>
              <w:t>依据及说明</w:t>
            </w:r>
          </w:p>
        </w:tc>
      </w:tr>
      <w:tr>
        <w:tblPrEx>
          <w:tblCellMar>
            <w:top w:w="0" w:type="dxa"/>
            <w:left w:w="108" w:type="dxa"/>
            <w:bottom w:w="0" w:type="dxa"/>
            <w:right w:w="108" w:type="dxa"/>
          </w:tblCellMar>
        </w:tblPrEx>
        <w:trPr>
          <w:trHeight w:val="1695" w:hRule="atLeast"/>
        </w:trPr>
        <w:tc>
          <w:tcPr>
            <w:tcW w:w="283" w:type="pct"/>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jc w:val="center"/>
              <w:rPr>
                <w:kern w:val="0"/>
                <w:sz w:val="20"/>
                <w:szCs w:val="20"/>
              </w:rPr>
            </w:pPr>
            <w:r>
              <w:rPr>
                <w:kern w:val="0"/>
                <w:sz w:val="20"/>
                <w:szCs w:val="20"/>
              </w:rPr>
              <w:t>投入（20分）</w:t>
            </w:r>
          </w:p>
        </w:tc>
        <w:tc>
          <w:tcPr>
            <w:tcW w:w="28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spacing w:val="-20"/>
                <w:kern w:val="0"/>
                <w:sz w:val="20"/>
                <w:szCs w:val="20"/>
              </w:rPr>
            </w:pPr>
            <w:r>
              <w:rPr>
                <w:spacing w:val="-20"/>
                <w:kern w:val="0"/>
                <w:sz w:val="20"/>
                <w:szCs w:val="20"/>
              </w:rPr>
              <w:t>目标设定（5分）</w:t>
            </w: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绩效目标合理性（2分）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部门（单位）所设立的整体绩效目标依据是否充分，是否符合客观实际，用以反映和考核部门（单位）整体绩效目标与部门履职、年度工作任务的相符性情况。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是否符合国家法律法规、国民经济和社会发展总体规划；(1分）</w:t>
            </w:r>
            <w:r>
              <w:rPr>
                <w:kern w:val="0"/>
                <w:sz w:val="20"/>
                <w:szCs w:val="20"/>
              </w:rPr>
              <w:br w:type="textWrapping"/>
            </w:r>
            <w:r>
              <w:rPr>
                <w:rFonts w:hint="eastAsia" w:ascii="宋体" w:hAnsi="宋体" w:cs="宋体"/>
                <w:kern w:val="0"/>
                <w:sz w:val="20"/>
                <w:szCs w:val="20"/>
              </w:rPr>
              <w:t>②</w:t>
            </w:r>
            <w:r>
              <w:rPr>
                <w:kern w:val="0"/>
                <w:sz w:val="20"/>
                <w:szCs w:val="20"/>
              </w:rPr>
              <w:t>是否符合部门“三定”方案确定的职责；（0.5分）</w:t>
            </w:r>
            <w:r>
              <w:rPr>
                <w:kern w:val="0"/>
                <w:sz w:val="20"/>
                <w:szCs w:val="20"/>
              </w:rPr>
              <w:br w:type="textWrapping"/>
            </w:r>
            <w:r>
              <w:rPr>
                <w:rFonts w:hint="eastAsia" w:ascii="宋体" w:hAnsi="宋体" w:cs="宋体"/>
                <w:kern w:val="0"/>
                <w:sz w:val="20"/>
                <w:szCs w:val="20"/>
              </w:rPr>
              <w:t>③</w:t>
            </w:r>
            <w:r>
              <w:rPr>
                <w:kern w:val="0"/>
                <w:sz w:val="20"/>
                <w:szCs w:val="20"/>
              </w:rPr>
              <w:t>是否符合部门制定的中长期实施规划。（0.5分）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符合国家法律法规、国民经济和社会发展总体规划</w:t>
            </w:r>
            <w:r>
              <w:rPr>
                <w:rFonts w:hint="eastAsia"/>
                <w:kern w:val="0"/>
                <w:sz w:val="20"/>
                <w:szCs w:val="20"/>
              </w:rPr>
              <w:t>；</w:t>
            </w:r>
            <w:r>
              <w:rPr>
                <w:kern w:val="0"/>
                <w:sz w:val="20"/>
                <w:szCs w:val="20"/>
              </w:rPr>
              <w:t>符合部门“三定”方案确发展总体规划</w:t>
            </w:r>
            <w:r>
              <w:rPr>
                <w:rFonts w:hint="eastAsia"/>
                <w:kern w:val="0"/>
                <w:sz w:val="20"/>
                <w:szCs w:val="20"/>
              </w:rPr>
              <w:t>；</w:t>
            </w:r>
            <w:r>
              <w:rPr>
                <w:kern w:val="0"/>
                <w:sz w:val="20"/>
                <w:szCs w:val="20"/>
              </w:rPr>
              <w:t>符合部门“三定”方案确规划</w:t>
            </w:r>
          </w:p>
        </w:tc>
      </w:tr>
      <w:tr>
        <w:tblPrEx>
          <w:tblCellMar>
            <w:top w:w="0" w:type="dxa"/>
            <w:left w:w="108" w:type="dxa"/>
            <w:bottom w:w="0" w:type="dxa"/>
            <w:right w:w="108" w:type="dxa"/>
          </w:tblCellMar>
        </w:tblPrEx>
        <w:trPr>
          <w:trHeight w:val="1845"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绩效指标明确性（3分）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部门（单位）依据整体绩效目标所设定的绩效指标是否清晰、细化、可衡量，用以反映和考核部门（单位）整体绩效目标的明细化情况。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w:t>
            </w:r>
            <w:r>
              <w:rPr>
                <w:spacing w:val="-16"/>
                <w:kern w:val="0"/>
                <w:sz w:val="20"/>
                <w:szCs w:val="20"/>
              </w:rPr>
              <w:t>否将部门整体的绩效目标细化分解为具体的工作任务；（1分）</w:t>
            </w:r>
            <w:r>
              <w:rPr>
                <w:kern w:val="0"/>
                <w:sz w:val="20"/>
                <w:szCs w:val="20"/>
              </w:rPr>
              <w:br w:type="textWrapping"/>
            </w:r>
            <w:r>
              <w:rPr>
                <w:rFonts w:hint="eastAsia" w:ascii="宋体" w:hAnsi="宋体" w:cs="宋体"/>
                <w:kern w:val="0"/>
                <w:sz w:val="20"/>
                <w:szCs w:val="20"/>
              </w:rPr>
              <w:t>②</w:t>
            </w:r>
            <w:r>
              <w:rPr>
                <w:kern w:val="0"/>
                <w:sz w:val="20"/>
                <w:szCs w:val="20"/>
              </w:rPr>
              <w:t xml:space="preserve">是否通过清晰、可衡量的指标值予以体现;(0.5分）    </w:t>
            </w:r>
            <w:r>
              <w:rPr>
                <w:rFonts w:hint="eastAsia" w:ascii="宋体" w:hAnsi="宋体" w:cs="宋体"/>
                <w:kern w:val="0"/>
                <w:sz w:val="20"/>
                <w:szCs w:val="20"/>
              </w:rPr>
              <w:t>③</w:t>
            </w:r>
            <w:r>
              <w:rPr>
                <w:kern w:val="0"/>
                <w:sz w:val="20"/>
                <w:szCs w:val="20"/>
              </w:rPr>
              <w:t>是否与部门年度的任务数或计划数相对应；（0.5分）</w:t>
            </w:r>
            <w:r>
              <w:rPr>
                <w:kern w:val="0"/>
                <w:sz w:val="20"/>
                <w:szCs w:val="20"/>
              </w:rPr>
              <w:br w:type="textWrapping"/>
            </w:r>
            <w:r>
              <w:rPr>
                <w:rFonts w:hint="eastAsia" w:ascii="宋体" w:hAnsi="宋体" w:cs="宋体"/>
                <w:kern w:val="0"/>
                <w:sz w:val="20"/>
                <w:szCs w:val="20"/>
              </w:rPr>
              <w:t>④</w:t>
            </w:r>
            <w:r>
              <w:rPr>
                <w:kern w:val="0"/>
                <w:sz w:val="20"/>
                <w:szCs w:val="20"/>
              </w:rPr>
              <w:t>是否与本年度部门预算资金相匹配。（1分）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3</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依据整体绩效目标</w:t>
            </w:r>
            <w:r>
              <w:rPr>
                <w:rFonts w:hint="eastAsia"/>
                <w:kern w:val="0"/>
                <w:sz w:val="20"/>
                <w:szCs w:val="20"/>
              </w:rPr>
              <w:t>，</w:t>
            </w:r>
            <w:r>
              <w:rPr>
                <w:kern w:val="0"/>
                <w:sz w:val="20"/>
                <w:szCs w:val="20"/>
              </w:rPr>
              <w:t>所设定的绩效指标清晰、细化、可衡量</w:t>
            </w:r>
          </w:p>
        </w:tc>
      </w:tr>
      <w:tr>
        <w:tblPrEx>
          <w:tblCellMar>
            <w:top w:w="0" w:type="dxa"/>
            <w:left w:w="108" w:type="dxa"/>
            <w:bottom w:w="0" w:type="dxa"/>
            <w:right w:w="108" w:type="dxa"/>
          </w:tblCellMar>
        </w:tblPrEx>
        <w:trPr>
          <w:trHeight w:val="1530"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spacing w:val="-20"/>
                <w:kern w:val="0"/>
                <w:sz w:val="20"/>
                <w:szCs w:val="20"/>
              </w:rPr>
            </w:pPr>
            <w:r>
              <w:rPr>
                <w:spacing w:val="-20"/>
                <w:kern w:val="0"/>
                <w:sz w:val="20"/>
                <w:szCs w:val="20"/>
              </w:rPr>
              <w:t>预算配置（15分）</w:t>
            </w: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在职人员控制率（5分）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部门（单位）本年度实际在职人员数与编制数的比率，用以反映和考核部门（单位）对人员成本的控制程度。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在职人员控制率=（在职人员数/编制数）×100%。（小于或等于1计5分，否则按比例计分）</w:t>
            </w:r>
            <w:r>
              <w:rPr>
                <w:kern w:val="0"/>
                <w:sz w:val="20"/>
                <w:szCs w:val="20"/>
              </w:rPr>
              <w:br w:type="textWrapping"/>
            </w:r>
            <w:r>
              <w:rPr>
                <w:kern w:val="0"/>
                <w:sz w:val="20"/>
                <w:szCs w:val="20"/>
              </w:rPr>
              <w:t>在职人员数：部门（单位）实际在职人数，以财政部确定的部门决算编制口径为准。</w:t>
            </w:r>
            <w:r>
              <w:rPr>
                <w:kern w:val="0"/>
                <w:sz w:val="20"/>
                <w:szCs w:val="20"/>
              </w:rPr>
              <w:br w:type="textWrapping"/>
            </w:r>
            <w:r>
              <w:rPr>
                <w:kern w:val="0"/>
                <w:sz w:val="20"/>
                <w:szCs w:val="20"/>
              </w:rPr>
              <w:t>编制数：机构编制部门核定批复的部门（单位）的人员编制数。</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5</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在职人员控制率=</w:t>
            </w:r>
            <w:r>
              <w:rPr>
                <w:rFonts w:hint="eastAsia"/>
                <w:kern w:val="0"/>
                <w:sz w:val="20"/>
                <w:szCs w:val="20"/>
              </w:rPr>
              <w:t>19/21</w:t>
            </w:r>
            <w:r>
              <w:rPr>
                <w:kern w:val="0"/>
                <w:sz w:val="20"/>
                <w:szCs w:val="20"/>
              </w:rPr>
              <w:t>=</w:t>
            </w:r>
            <w:r>
              <w:rPr>
                <w:rFonts w:hint="eastAsia"/>
                <w:kern w:val="0"/>
                <w:sz w:val="20"/>
                <w:szCs w:val="20"/>
              </w:rPr>
              <w:t>90.48</w:t>
            </w:r>
            <w:r>
              <w:rPr>
                <w:kern w:val="0"/>
                <w:sz w:val="20"/>
                <w:szCs w:val="20"/>
              </w:rPr>
              <w:t>%</w:t>
            </w:r>
          </w:p>
        </w:tc>
      </w:tr>
      <w:tr>
        <w:tblPrEx>
          <w:tblCellMar>
            <w:top w:w="0" w:type="dxa"/>
            <w:left w:w="108" w:type="dxa"/>
            <w:bottom w:w="0" w:type="dxa"/>
            <w:right w:w="108" w:type="dxa"/>
          </w:tblCellMar>
        </w:tblPrEx>
        <w:trPr>
          <w:trHeight w:val="1605"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“三公经费”变动率（5分）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部门（单位）本年度“三公经费”预算数与上年度“三公经费”预算数的变动比率，用以反映和考核部门（单位）对控制重点行政成本的努力程度。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“三公经费”变动率=[（本年度“三公经费”总额-上年度“三公经费”总额）/上年度“三公经费”总额]×100%。（下降的计5分，增加的按比例扣减）</w:t>
            </w:r>
            <w:r>
              <w:rPr>
                <w:kern w:val="0"/>
                <w:sz w:val="20"/>
                <w:szCs w:val="20"/>
              </w:rPr>
              <w:br w:type="textWrapping"/>
            </w:r>
            <w:r>
              <w:rPr>
                <w:kern w:val="0"/>
                <w:sz w:val="20"/>
                <w:szCs w:val="20"/>
              </w:rPr>
              <w:t>“三公经费”：年度预算安排的因公出国（境）费、公务车辆购置及运行费和公务招待费。</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3.9</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rFonts w:hint="eastAsia"/>
                <w:kern w:val="0"/>
                <w:sz w:val="20"/>
                <w:szCs w:val="20"/>
              </w:rPr>
              <w:t>“</w:t>
            </w:r>
            <w:r>
              <w:rPr>
                <w:kern w:val="0"/>
                <w:sz w:val="20"/>
                <w:szCs w:val="20"/>
              </w:rPr>
              <w:t>三</w:t>
            </w:r>
            <w:r>
              <w:rPr>
                <w:rFonts w:hint="eastAsia"/>
                <w:kern w:val="0"/>
                <w:sz w:val="20"/>
                <w:szCs w:val="20"/>
              </w:rPr>
              <w:t>公</w:t>
            </w:r>
            <w:r>
              <w:rPr>
                <w:kern w:val="0"/>
                <w:sz w:val="20"/>
                <w:szCs w:val="20"/>
              </w:rPr>
              <w:t>经费”</w:t>
            </w:r>
            <w:r>
              <w:rPr>
                <w:rFonts w:hint="eastAsia"/>
                <w:kern w:val="0"/>
                <w:sz w:val="20"/>
                <w:szCs w:val="20"/>
              </w:rPr>
              <w:t>变</w:t>
            </w:r>
            <w:r>
              <w:rPr>
                <w:kern w:val="0"/>
                <w:sz w:val="20"/>
                <w:szCs w:val="20"/>
              </w:rPr>
              <w:t>动率</w:t>
            </w:r>
            <w:r>
              <w:rPr>
                <w:rFonts w:hint="eastAsia"/>
                <w:kern w:val="0"/>
                <w:sz w:val="20"/>
                <w:szCs w:val="20"/>
              </w:rPr>
              <w:t>=</w:t>
            </w:r>
          </w:p>
          <w:p>
            <w:pPr>
              <w:widowControl/>
              <w:jc w:val="left"/>
              <w:rPr>
                <w:kern w:val="0"/>
                <w:sz w:val="20"/>
                <w:szCs w:val="20"/>
              </w:rPr>
            </w:pPr>
            <w:r>
              <w:rPr>
                <w:kern w:val="0"/>
                <w:sz w:val="20"/>
                <w:szCs w:val="20"/>
              </w:rPr>
              <w:t>(</w:t>
            </w:r>
            <w:r>
              <w:rPr>
                <w:rFonts w:hint="eastAsia"/>
                <w:kern w:val="0"/>
                <w:sz w:val="20"/>
                <w:szCs w:val="20"/>
              </w:rPr>
              <w:t>107412.01-88107.49)/88107.49</w:t>
            </w:r>
          </w:p>
          <w:p>
            <w:pPr>
              <w:widowControl/>
              <w:jc w:val="left"/>
              <w:rPr>
                <w:kern w:val="0"/>
                <w:sz w:val="24"/>
              </w:rPr>
            </w:pPr>
            <w:r>
              <w:rPr>
                <w:kern w:val="0"/>
                <w:sz w:val="20"/>
                <w:szCs w:val="20"/>
              </w:rPr>
              <w:t>=</w:t>
            </w:r>
            <w:r>
              <w:rPr>
                <w:rFonts w:hint="eastAsia"/>
                <w:kern w:val="0"/>
                <w:sz w:val="20"/>
                <w:szCs w:val="20"/>
              </w:rPr>
              <w:t>21.91%</w:t>
            </w:r>
            <w:r>
              <w:rPr>
                <w:kern w:val="0"/>
                <w:sz w:val="20"/>
                <w:szCs w:val="20"/>
              </w:rPr>
              <w:t>，</w:t>
            </w:r>
          </w:p>
        </w:tc>
      </w:tr>
      <w:tr>
        <w:tblPrEx>
          <w:tblCellMar>
            <w:top w:w="0" w:type="dxa"/>
            <w:left w:w="108" w:type="dxa"/>
            <w:bottom w:w="0" w:type="dxa"/>
            <w:right w:w="108" w:type="dxa"/>
          </w:tblCellMar>
        </w:tblPrEx>
        <w:trPr>
          <w:trHeight w:val="1956"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重点支出安排率（5分）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部门（单位）本年度预算安排的重点项目支出与部门项目总支出的比率，用以反映和考核部门（单位）对履行主要职责或完成重点任务的保障程度。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重点支出安排率=（重点项目支出/项目总支出）×100%。（实际得分=支出安排率*5分）</w:t>
            </w:r>
            <w:r>
              <w:rPr>
                <w:kern w:val="0"/>
                <w:sz w:val="20"/>
                <w:szCs w:val="20"/>
              </w:rPr>
              <w:br w:type="textWrapping"/>
            </w:r>
            <w:r>
              <w:rPr>
                <w:kern w:val="0"/>
                <w:sz w:val="20"/>
                <w:szCs w:val="20"/>
              </w:rPr>
              <w:t>重点项目支出：部门（单位）年度预算安排的，与本部门履职和发展密切相关、具有明显社会和经济影响、党委政府关心或社会比较关注的项目支出总额。</w:t>
            </w:r>
            <w:r>
              <w:rPr>
                <w:kern w:val="0"/>
                <w:sz w:val="20"/>
                <w:szCs w:val="20"/>
              </w:rPr>
              <w:br w:type="textWrapping"/>
            </w:r>
            <w:r>
              <w:rPr>
                <w:kern w:val="0"/>
                <w:sz w:val="20"/>
                <w:szCs w:val="20"/>
              </w:rPr>
              <w:t>项目总支出：部门（单位）年度预算安排的项目支出总额。</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5</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rFonts w:hint="eastAsia"/>
                <w:kern w:val="0"/>
                <w:sz w:val="20"/>
                <w:szCs w:val="20"/>
              </w:rPr>
              <w:t>重</w:t>
            </w:r>
            <w:r>
              <w:rPr>
                <w:kern w:val="0"/>
                <w:sz w:val="20"/>
                <w:szCs w:val="20"/>
              </w:rPr>
              <w:t>点支出安排率</w:t>
            </w:r>
            <w:r>
              <w:rPr>
                <w:rFonts w:hint="eastAsia"/>
                <w:kern w:val="0"/>
                <w:sz w:val="20"/>
                <w:szCs w:val="20"/>
              </w:rPr>
              <w:t>=</w:t>
            </w:r>
          </w:p>
          <w:p>
            <w:pPr>
              <w:widowControl/>
              <w:jc w:val="left"/>
              <w:rPr>
                <w:kern w:val="0"/>
                <w:sz w:val="20"/>
                <w:szCs w:val="20"/>
              </w:rPr>
            </w:pPr>
            <w:r>
              <w:rPr>
                <w:kern w:val="0"/>
                <w:sz w:val="20"/>
                <w:szCs w:val="20"/>
              </w:rPr>
              <w:t>(</w:t>
            </w:r>
            <w:r>
              <w:rPr>
                <w:rFonts w:hint="eastAsia"/>
                <w:kern w:val="0"/>
                <w:sz w:val="20"/>
                <w:szCs w:val="20"/>
              </w:rPr>
              <w:t>891027.58</w:t>
            </w:r>
            <w:r>
              <w:rPr>
                <w:kern w:val="0"/>
                <w:sz w:val="20"/>
                <w:szCs w:val="20"/>
              </w:rPr>
              <w:t>/</w:t>
            </w:r>
            <w:r>
              <w:rPr>
                <w:rFonts w:hint="eastAsia"/>
                <w:kern w:val="0"/>
                <w:sz w:val="20"/>
                <w:szCs w:val="20"/>
              </w:rPr>
              <w:t>891027.58</w:t>
            </w:r>
            <w:r>
              <w:rPr>
                <w:kern w:val="0"/>
                <w:sz w:val="20"/>
                <w:szCs w:val="20"/>
              </w:rPr>
              <w:t>)*100%=</w:t>
            </w:r>
            <w:r>
              <w:rPr>
                <w:rFonts w:hint="eastAsia"/>
                <w:kern w:val="0"/>
                <w:sz w:val="20"/>
                <w:szCs w:val="20"/>
              </w:rPr>
              <w:t>100</w:t>
            </w:r>
            <w:r>
              <w:rPr>
                <w:kern w:val="0"/>
                <w:sz w:val="20"/>
                <w:szCs w:val="20"/>
              </w:rPr>
              <w:t>%</w:t>
            </w:r>
          </w:p>
        </w:tc>
      </w:tr>
      <w:tr>
        <w:tblPrEx>
          <w:tblCellMar>
            <w:top w:w="0" w:type="dxa"/>
            <w:left w:w="108" w:type="dxa"/>
            <w:bottom w:w="0" w:type="dxa"/>
            <w:right w:w="108" w:type="dxa"/>
          </w:tblCellMar>
        </w:tblPrEx>
        <w:trPr>
          <w:trHeight w:val="1695" w:hRule="atLeast"/>
        </w:trPr>
        <w:tc>
          <w:tcPr>
            <w:tcW w:w="283" w:type="pct"/>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jc w:val="center"/>
              <w:rPr>
                <w:kern w:val="0"/>
                <w:sz w:val="20"/>
                <w:szCs w:val="20"/>
              </w:rPr>
            </w:pPr>
            <w:r>
              <w:rPr>
                <w:kern w:val="0"/>
                <w:sz w:val="20"/>
                <w:szCs w:val="20"/>
              </w:rPr>
              <w:t>过程（30分）</w:t>
            </w:r>
          </w:p>
        </w:tc>
        <w:tc>
          <w:tcPr>
            <w:tcW w:w="28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spacing w:val="-20"/>
                <w:kern w:val="0"/>
                <w:sz w:val="20"/>
                <w:szCs w:val="20"/>
              </w:rPr>
            </w:pPr>
            <w:r>
              <w:rPr>
                <w:spacing w:val="-20"/>
                <w:kern w:val="0"/>
                <w:sz w:val="20"/>
                <w:szCs w:val="20"/>
              </w:rPr>
              <w:t>预算执行（20分）</w:t>
            </w: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预算完成率（4分）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部门（单位）本年度预算完成数与预算数的比率，用以反映和考核部门（单位）预算完成程度。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预算完成率=（预算完成数/预算数）×100%。（完成年初预算计4分，未完成年初按比例扣减）</w:t>
            </w:r>
            <w:r>
              <w:rPr>
                <w:kern w:val="0"/>
                <w:sz w:val="20"/>
                <w:szCs w:val="20"/>
              </w:rPr>
              <w:br w:type="textWrapping"/>
            </w:r>
            <w:r>
              <w:rPr>
                <w:kern w:val="0"/>
                <w:sz w:val="20"/>
                <w:szCs w:val="20"/>
              </w:rPr>
              <w:t>预算完成数：部门（单位）本年度实际完成的预算数。</w:t>
            </w:r>
            <w:r>
              <w:rPr>
                <w:kern w:val="0"/>
                <w:sz w:val="20"/>
                <w:szCs w:val="20"/>
              </w:rPr>
              <w:br w:type="textWrapping"/>
            </w:r>
            <w:r>
              <w:rPr>
                <w:kern w:val="0"/>
                <w:sz w:val="20"/>
                <w:szCs w:val="20"/>
              </w:rPr>
              <w:t>预算数：财政部门批复的本年度部门（单位）预算数。</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4</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预算完成数与预算数一致</w:t>
            </w:r>
          </w:p>
        </w:tc>
      </w:tr>
      <w:tr>
        <w:tblPrEx>
          <w:tblCellMar>
            <w:top w:w="0" w:type="dxa"/>
            <w:left w:w="108" w:type="dxa"/>
            <w:bottom w:w="0" w:type="dxa"/>
            <w:right w:w="108" w:type="dxa"/>
          </w:tblCellMar>
        </w:tblPrEx>
        <w:trPr>
          <w:trHeight w:val="1860"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预算调整率（2分）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部门（单位）本年度预算调整数与预算数的比率，用以反映和考核部门（单位）预算的调整程度。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预算调整率=（预算调整数/预算数）×100%。（未调整的计2分，调整了的除特殊原因外按比例扣减）</w:t>
            </w:r>
            <w:r>
              <w:rPr>
                <w:kern w:val="0"/>
                <w:sz w:val="20"/>
                <w:szCs w:val="20"/>
              </w:rPr>
              <w:br w:type="textWrapping"/>
            </w:r>
            <w:r>
              <w:rPr>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kern w:val="0"/>
                <w:sz w:val="20"/>
                <w:szCs w:val="20"/>
              </w:rPr>
              <w:t>未调整预算</w:t>
            </w:r>
          </w:p>
        </w:tc>
      </w:tr>
      <w:tr>
        <w:tblPrEx>
          <w:tblCellMar>
            <w:top w:w="0" w:type="dxa"/>
            <w:left w:w="108" w:type="dxa"/>
            <w:bottom w:w="0" w:type="dxa"/>
            <w:right w:w="108" w:type="dxa"/>
          </w:tblCellMar>
        </w:tblPrEx>
        <w:trPr>
          <w:trHeight w:val="2295"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支付进度率（2分）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部门（单位）实际支付进度与既定支付进度的比率，用以反映和考核部门（单位）预算执行的及时性和均衡性程度。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支付进度率=（实际支付进度/既定支付进度）×100%。完成年终进度的计1分，按季度完成预算进度的计1分。</w:t>
            </w:r>
            <w:r>
              <w:rPr>
                <w:kern w:val="0"/>
                <w:sz w:val="20"/>
                <w:szCs w:val="20"/>
              </w:rPr>
              <w:br w:type="textWrapping"/>
            </w:r>
            <w:r>
              <w:rPr>
                <w:kern w:val="0"/>
                <w:sz w:val="20"/>
                <w:szCs w:val="20"/>
              </w:rPr>
              <w:t>实际支付进度：部门（单位）在某一时点的支出预算执行总数与年度支出预算数的比率。</w:t>
            </w:r>
            <w:r>
              <w:rPr>
                <w:kern w:val="0"/>
                <w:sz w:val="20"/>
                <w:szCs w:val="20"/>
              </w:rPr>
              <w:br w:type="textWrapping"/>
            </w:r>
            <w:r>
              <w:rPr>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0</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320"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结转结余率（2分）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部门（单位）本年度结转结余总额与支出预算数的比率，用以反映和考核部门（单位）对本年度结转结余资金的实际控制程度。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结转结余率=结转结余总额/支出预算数×100%。低于5%的计1分，每超过5个百分点扣1分，扣完为止。</w:t>
            </w:r>
            <w:r>
              <w:rPr>
                <w:kern w:val="0"/>
                <w:sz w:val="20"/>
                <w:szCs w:val="20"/>
              </w:rPr>
              <w:br w:type="textWrapping"/>
            </w:r>
            <w:r>
              <w:rPr>
                <w:kern w:val="0"/>
                <w:sz w:val="20"/>
                <w:szCs w:val="20"/>
              </w:rPr>
              <w:t>结转结余总额：部门（单位）本年度的结转资金与结余资金之和（以决算数为准）。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kern w:val="0"/>
                <w:sz w:val="20"/>
                <w:szCs w:val="20"/>
              </w:rPr>
              <w:t>结转结余率=结转结余总额/支出预算数</w:t>
            </w:r>
          </w:p>
          <w:p>
            <w:pPr>
              <w:widowControl/>
              <w:jc w:val="left"/>
              <w:rPr>
                <w:kern w:val="0"/>
                <w:sz w:val="20"/>
                <w:szCs w:val="20"/>
              </w:rPr>
            </w:pPr>
            <w:r>
              <w:rPr>
                <w:rFonts w:hint="eastAsia"/>
                <w:kern w:val="0"/>
                <w:sz w:val="20"/>
                <w:szCs w:val="20"/>
              </w:rPr>
              <w:t>×100%=0/7588384.27=0.00%</w:t>
            </w:r>
          </w:p>
        </w:tc>
      </w:tr>
      <w:tr>
        <w:tblPrEx>
          <w:tblCellMar>
            <w:top w:w="0" w:type="dxa"/>
            <w:left w:w="108" w:type="dxa"/>
            <w:bottom w:w="0" w:type="dxa"/>
            <w:right w:w="108" w:type="dxa"/>
          </w:tblCellMar>
        </w:tblPrEx>
        <w:trPr>
          <w:trHeight w:val="1590"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结转结余变动率（2分）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部门（单位）本年度结转结余资金总额与上年度结转结余资金总额的变动比率，用以反映和考核部门（单位）对控制结转结余资金的努力程度。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结转结余变动率=[（本年度累计结转结余资金总额-上年度累计结转结余资金总额）/上年度累计结转结余资金总额]×100%。（低于15%的计2分，每超过5个百分点扣1分，扣完为止）</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结转结余变动率=</w:t>
            </w:r>
          </w:p>
          <w:p>
            <w:pPr>
              <w:widowControl/>
              <w:jc w:val="left"/>
            </w:pPr>
            <w:r>
              <w:rPr>
                <w:rFonts w:hint="eastAsia"/>
              </w:rPr>
              <w:t>(0-45820.5)</w:t>
            </w:r>
            <w:r>
              <w:t>/</w:t>
            </w:r>
            <w:r>
              <w:rPr>
                <w:rFonts w:hint="eastAsia"/>
              </w:rPr>
              <w:t>45820.5</w:t>
            </w:r>
          </w:p>
          <w:p>
            <w:pPr>
              <w:widowControl/>
              <w:jc w:val="left"/>
              <w:rPr>
                <w:kern w:val="0"/>
                <w:sz w:val="24"/>
              </w:rPr>
            </w:pPr>
            <w:r>
              <w:t>=</w:t>
            </w:r>
            <w:r>
              <w:rPr>
                <w:rFonts w:hint="eastAsia"/>
              </w:rPr>
              <w:t>-100</w:t>
            </w:r>
            <w:r>
              <w:t>%</w:t>
            </w:r>
          </w:p>
        </w:tc>
      </w:tr>
      <w:tr>
        <w:tblPrEx>
          <w:tblCellMar>
            <w:top w:w="0" w:type="dxa"/>
            <w:left w:w="108" w:type="dxa"/>
            <w:bottom w:w="0" w:type="dxa"/>
            <w:right w:w="108" w:type="dxa"/>
          </w:tblCellMar>
        </w:tblPrEx>
        <w:trPr>
          <w:trHeight w:val="1470"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公用经费控制率（2分）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部门（单位）本年度实际支出的公用经费总额与预算安排的公用经费总额的比率，用以反映和考核部门（单位）对机构运转成本的实际控制程度。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公用经费控制率=（实际支出公用经费总额/预算安排公用经费总额）×100%。（为100%的计2分，每超过1个百分点扣0.1分，扣完为止）</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公用经费控制率=</w:t>
            </w:r>
          </w:p>
          <w:p>
            <w:pPr>
              <w:widowControl/>
              <w:jc w:val="left"/>
              <w:rPr>
                <w:kern w:val="0"/>
                <w:sz w:val="24"/>
              </w:rPr>
            </w:pPr>
            <w:r>
              <w:rPr>
                <w:rFonts w:hint="eastAsia"/>
                <w:kern w:val="0"/>
                <w:sz w:val="20"/>
                <w:szCs w:val="20"/>
              </w:rPr>
              <w:t>613188.03/1555400=39.42%</w:t>
            </w:r>
          </w:p>
        </w:tc>
      </w:tr>
      <w:tr>
        <w:tblPrEx>
          <w:tblCellMar>
            <w:top w:w="0" w:type="dxa"/>
            <w:left w:w="108" w:type="dxa"/>
            <w:bottom w:w="0" w:type="dxa"/>
            <w:right w:w="108" w:type="dxa"/>
          </w:tblCellMar>
        </w:tblPrEx>
        <w:trPr>
          <w:trHeight w:val="1494"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“三公经费”控制率（2分）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部门（单位）本年度“三公经费”实际支出数与预算安排数的比率，用以反映和考核部门（单位）对“三公经费”的实际控制程度。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“三公经费”控制率=（“三公经费”实际支出数/“三公经费”预算安排数）×100%。（为100%的计2分，每超过1个百分点扣0.5分，扣完为止）</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三公经费”控制率=</w:t>
            </w:r>
          </w:p>
          <w:p>
            <w:pPr>
              <w:widowControl/>
              <w:jc w:val="left"/>
              <w:rPr>
                <w:kern w:val="0"/>
                <w:sz w:val="24"/>
              </w:rPr>
            </w:pPr>
            <w:r>
              <w:rPr>
                <w:rFonts w:hint="eastAsia"/>
                <w:kern w:val="0"/>
                <w:sz w:val="20"/>
                <w:szCs w:val="20"/>
              </w:rPr>
              <w:t>107412.01/121100</w:t>
            </w:r>
            <w:r>
              <w:rPr>
                <w:kern w:val="0"/>
                <w:sz w:val="20"/>
                <w:szCs w:val="20"/>
              </w:rPr>
              <w:t>=</w:t>
            </w:r>
            <w:r>
              <w:rPr>
                <w:rFonts w:hint="eastAsia"/>
                <w:kern w:val="0"/>
                <w:sz w:val="20"/>
                <w:szCs w:val="20"/>
              </w:rPr>
              <w:t>88.70</w:t>
            </w:r>
            <w:r>
              <w:rPr>
                <w:kern w:val="0"/>
                <w:sz w:val="20"/>
                <w:szCs w:val="20"/>
              </w:rPr>
              <w:t>%</w:t>
            </w:r>
          </w:p>
        </w:tc>
      </w:tr>
      <w:tr>
        <w:tblPrEx>
          <w:tblCellMar>
            <w:top w:w="0" w:type="dxa"/>
            <w:left w:w="108" w:type="dxa"/>
            <w:bottom w:w="0" w:type="dxa"/>
            <w:right w:w="108" w:type="dxa"/>
          </w:tblCellMar>
        </w:tblPrEx>
        <w:trPr>
          <w:trHeight w:val="1912"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政府采购执行率（4分）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部门（单位）本年度实际政府采购金额与年初政府采购预算的比率，用以反映和考核部门（单位）政府采购预算执行情况。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政府采购执行率=（实际政府采购金额/政府采购预算数）×100%。（为100%的计2分，每低于1个百分点扣0.5分，扣完为止）</w:t>
            </w:r>
            <w:r>
              <w:rPr>
                <w:kern w:val="0"/>
                <w:sz w:val="20"/>
                <w:szCs w:val="20"/>
              </w:rPr>
              <w:br w:type="textWrapping"/>
            </w:r>
            <w:r>
              <w:rPr>
                <w:kern w:val="0"/>
                <w:sz w:val="20"/>
                <w:szCs w:val="20"/>
              </w:rPr>
              <w:t xml:space="preserve">政府采购预算：采购机关根据事业发展计划和行政任务编制的、并经过规定程序批准的年度政府采购计划。 </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0</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　</w:t>
            </w:r>
            <w:r>
              <w:rPr>
                <w:rFonts w:hint="eastAsia"/>
                <w:kern w:val="0"/>
                <w:sz w:val="20"/>
                <w:szCs w:val="20"/>
              </w:rPr>
              <w:t>年初预算未安排采购资金</w:t>
            </w:r>
          </w:p>
        </w:tc>
      </w:tr>
      <w:tr>
        <w:tblPrEx>
          <w:tblCellMar>
            <w:top w:w="0" w:type="dxa"/>
            <w:left w:w="108" w:type="dxa"/>
            <w:bottom w:w="0" w:type="dxa"/>
            <w:right w:w="108" w:type="dxa"/>
          </w:tblCellMar>
        </w:tblPrEx>
        <w:trPr>
          <w:trHeight w:val="2084"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spacing w:val="-20"/>
                <w:kern w:val="0"/>
                <w:sz w:val="20"/>
                <w:szCs w:val="20"/>
              </w:rPr>
            </w:pPr>
            <w:r>
              <w:rPr>
                <w:spacing w:val="-20"/>
                <w:kern w:val="0"/>
                <w:sz w:val="20"/>
                <w:szCs w:val="20"/>
              </w:rPr>
              <w:t>预算管理（5分）</w:t>
            </w: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管理制度健全性（2分）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部门（单位）为加强预算管理、规范财务行为而制定的管理制度是否健全完整，用以反映和考核部门（单位）预算管理制度对完成主要职责或促进事业发展的保障情况。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是否已制定或具有预算资金管理办法、内部财务管理制度、会计核算制度等管理制度；（1分）</w:t>
            </w:r>
            <w:r>
              <w:rPr>
                <w:kern w:val="0"/>
                <w:sz w:val="20"/>
                <w:szCs w:val="20"/>
              </w:rPr>
              <w:br w:type="textWrapping"/>
            </w:r>
            <w:r>
              <w:rPr>
                <w:rFonts w:hint="eastAsia" w:ascii="宋体" w:hAnsi="宋体" w:cs="宋体"/>
                <w:kern w:val="0"/>
                <w:sz w:val="20"/>
                <w:szCs w:val="20"/>
              </w:rPr>
              <w:t>②</w:t>
            </w:r>
            <w:r>
              <w:rPr>
                <w:kern w:val="0"/>
                <w:sz w:val="20"/>
                <w:szCs w:val="20"/>
              </w:rPr>
              <w:t>相关管理制度是否合法、合规、完整；（0.5分）</w:t>
            </w:r>
            <w:r>
              <w:rPr>
                <w:kern w:val="0"/>
                <w:sz w:val="20"/>
                <w:szCs w:val="20"/>
              </w:rPr>
              <w:br w:type="textWrapping"/>
            </w:r>
            <w:r>
              <w:rPr>
                <w:rFonts w:hint="eastAsia" w:ascii="宋体" w:hAnsi="宋体" w:cs="宋体"/>
                <w:kern w:val="0"/>
                <w:sz w:val="20"/>
                <w:szCs w:val="20"/>
              </w:rPr>
              <w:t>③</w:t>
            </w:r>
            <w:r>
              <w:rPr>
                <w:kern w:val="0"/>
                <w:sz w:val="20"/>
                <w:szCs w:val="20"/>
              </w:rPr>
              <w:t>相关管理制度是否得到有效执行。（0.5分）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已制定或具有预算资金管理办法、内部</w:t>
            </w:r>
          </w:p>
          <w:p>
            <w:pPr>
              <w:widowControl/>
              <w:jc w:val="left"/>
              <w:rPr>
                <w:kern w:val="0"/>
                <w:sz w:val="20"/>
                <w:szCs w:val="20"/>
              </w:rPr>
            </w:pPr>
            <w:r>
              <w:rPr>
                <w:kern w:val="0"/>
                <w:sz w:val="20"/>
                <w:szCs w:val="20"/>
              </w:rPr>
              <w:t>财务管理制度、会计核算制度等管理制度</w:t>
            </w:r>
            <w:r>
              <w:rPr>
                <w:rFonts w:hint="eastAsia"/>
                <w:kern w:val="0"/>
                <w:sz w:val="20"/>
                <w:szCs w:val="20"/>
              </w:rPr>
              <w:t>。</w:t>
            </w:r>
            <w:r>
              <w:rPr>
                <w:rFonts w:hint="eastAsia"/>
              </w:rPr>
              <w:t>且</w:t>
            </w:r>
            <w:r>
              <w:rPr>
                <w:kern w:val="0"/>
                <w:sz w:val="20"/>
                <w:szCs w:val="20"/>
              </w:rPr>
              <w:t>相关管理制度合法、合规、完整</w:t>
            </w:r>
            <w:r>
              <w:rPr>
                <w:rFonts w:hint="eastAsia"/>
                <w:kern w:val="0"/>
                <w:sz w:val="20"/>
                <w:szCs w:val="20"/>
              </w:rPr>
              <w:t>，</w:t>
            </w:r>
            <w:r>
              <w:rPr>
                <w:kern w:val="0"/>
                <w:sz w:val="20"/>
                <w:szCs w:val="20"/>
              </w:rPr>
              <w:t>并得到了</w:t>
            </w:r>
            <w:r>
              <w:rPr>
                <w:rFonts w:hint="eastAsia"/>
              </w:rPr>
              <w:t>有</w:t>
            </w:r>
            <w:r>
              <w:t>效执行。</w:t>
            </w:r>
          </w:p>
          <w:p>
            <w:pPr>
              <w:widowControl/>
              <w:jc w:val="left"/>
              <w:rPr>
                <w:kern w:val="0"/>
                <w:sz w:val="24"/>
              </w:rPr>
            </w:pPr>
          </w:p>
        </w:tc>
      </w:tr>
      <w:tr>
        <w:tblPrEx>
          <w:tblCellMar>
            <w:top w:w="0" w:type="dxa"/>
            <w:left w:w="108" w:type="dxa"/>
            <w:bottom w:w="0" w:type="dxa"/>
            <w:right w:w="108" w:type="dxa"/>
          </w:tblCellMar>
        </w:tblPrEx>
        <w:trPr>
          <w:trHeight w:val="2976"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资金使用合规性（1分）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部门（单位）使用预算资金是否符合相关的预算财务管理制度的规定，用以反映和考核部门（单位）预算资金的规范运行情况。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是否符合国家财经法规和财务管理制度规定以及有关专项资金管理办法的规定；（0.2分）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资金的拨付是否有完整的审批程序和手续；（0.2分）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项目的重大开支是否经过评估论证；（0.2分）</w:t>
            </w:r>
            <w:r>
              <w:rPr>
                <w:kern w:val="0"/>
                <w:sz w:val="20"/>
                <w:szCs w:val="20"/>
              </w:rPr>
              <w:br w:type="textWrapping"/>
            </w:r>
            <w:r>
              <w:rPr>
                <w:rFonts w:hint="eastAsia" w:ascii="宋体" w:hAnsi="宋体" w:cs="宋体"/>
                <w:kern w:val="0"/>
                <w:sz w:val="20"/>
                <w:szCs w:val="20"/>
              </w:rPr>
              <w:t>④</w:t>
            </w:r>
            <w:r>
              <w:rPr>
                <w:kern w:val="0"/>
                <w:sz w:val="20"/>
                <w:szCs w:val="20"/>
              </w:rPr>
              <w:t>是否符合部门预算批复的用途；（0.2分）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是否存在截留、挤占、挪用、虚列支出等情况。（0.2分）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1</w:t>
            </w:r>
          </w:p>
        </w:tc>
        <w:tc>
          <w:tcPr>
            <w:tcW w:w="1919" w:type="pct"/>
            <w:tcBorders>
              <w:top w:val="nil"/>
              <w:left w:val="nil"/>
              <w:bottom w:val="single" w:color="auto" w:sz="4" w:space="0"/>
              <w:right w:val="single" w:color="auto" w:sz="4" w:space="0"/>
            </w:tcBorders>
            <w:shd w:val="clear" w:color="auto" w:fill="auto"/>
            <w:noWrap/>
            <w:vAlign w:val="center"/>
          </w:tcPr>
          <w:p>
            <w:pPr>
              <w:pStyle w:val="2"/>
              <w:spacing w:after="0"/>
              <w:rPr>
                <w:kern w:val="0"/>
                <w:sz w:val="20"/>
                <w:szCs w:val="20"/>
              </w:rPr>
            </w:pPr>
            <w:r>
              <w:rPr>
                <w:kern w:val="0"/>
                <w:sz w:val="24"/>
              </w:rPr>
              <w:t>　</w:t>
            </w:r>
            <w:r>
              <w:rPr>
                <w:rFonts w:hint="eastAsia"/>
                <w:kern w:val="0"/>
                <w:sz w:val="20"/>
                <w:szCs w:val="20"/>
              </w:rPr>
              <w:t>本</w:t>
            </w:r>
            <w:r>
              <w:rPr>
                <w:kern w:val="0"/>
                <w:sz w:val="20"/>
                <w:szCs w:val="20"/>
              </w:rPr>
              <w:t>单位使用预算资金符合相关的预算财务管理制度的规定</w:t>
            </w:r>
          </w:p>
        </w:tc>
      </w:tr>
      <w:tr>
        <w:tblPrEx>
          <w:tblCellMar>
            <w:top w:w="0" w:type="dxa"/>
            <w:left w:w="108" w:type="dxa"/>
            <w:bottom w:w="0" w:type="dxa"/>
            <w:right w:w="108" w:type="dxa"/>
          </w:tblCellMar>
        </w:tblPrEx>
        <w:trPr>
          <w:trHeight w:val="2096"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预决算信息公开性（1分）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部门（单位）是否按照政府信息公开有关规定公开相关预决算信息，用以反映和考核部门（单位）预决算管理的公开透明情况。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是否按规定内容公开预决算信息；（0.5分）</w:t>
            </w:r>
            <w:r>
              <w:rPr>
                <w:kern w:val="0"/>
                <w:sz w:val="20"/>
                <w:szCs w:val="20"/>
              </w:rPr>
              <w:br w:type="textWrapping"/>
            </w:r>
            <w:r>
              <w:rPr>
                <w:rFonts w:hint="eastAsia" w:ascii="宋体" w:hAnsi="宋体" w:cs="宋体"/>
                <w:kern w:val="0"/>
                <w:sz w:val="20"/>
                <w:szCs w:val="20"/>
              </w:rPr>
              <w:t>②</w:t>
            </w:r>
            <w:r>
              <w:rPr>
                <w:kern w:val="0"/>
                <w:sz w:val="20"/>
                <w:szCs w:val="20"/>
              </w:rPr>
              <w:t>是否按规定时限公开预决算信息。（0.5分）</w:t>
            </w:r>
            <w:r>
              <w:rPr>
                <w:kern w:val="0"/>
                <w:sz w:val="20"/>
                <w:szCs w:val="20"/>
              </w:rPr>
              <w:br w:type="textWrapping"/>
            </w:r>
            <w:r>
              <w:rPr>
                <w:kern w:val="0"/>
                <w:sz w:val="20"/>
                <w:szCs w:val="20"/>
              </w:rPr>
              <w:t>预决算信息是指与部门预算、执行、决算、监督、绩效等管理相关的信息。</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1</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0"/>
                <w:szCs w:val="20"/>
              </w:rPr>
              <w:t>已按</w:t>
            </w:r>
            <w:r>
              <w:rPr>
                <w:kern w:val="0"/>
                <w:sz w:val="20"/>
                <w:szCs w:val="20"/>
              </w:rPr>
              <w:t>规定公开</w:t>
            </w:r>
          </w:p>
        </w:tc>
      </w:tr>
      <w:tr>
        <w:tblPrEx>
          <w:tblCellMar>
            <w:top w:w="0" w:type="dxa"/>
            <w:left w:w="108" w:type="dxa"/>
            <w:bottom w:w="0" w:type="dxa"/>
            <w:right w:w="108" w:type="dxa"/>
          </w:tblCellMar>
        </w:tblPrEx>
        <w:trPr>
          <w:trHeight w:val="1983"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基础信息完善性（1分）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部门（单位）基础信息是否完善，用以反映和考核基础信息对预算管理工作的支撑情况。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基础数据信息和会计信息资料是否真实；（0.4分）</w:t>
            </w:r>
            <w:r>
              <w:rPr>
                <w:kern w:val="0"/>
                <w:sz w:val="20"/>
                <w:szCs w:val="20"/>
              </w:rPr>
              <w:br w:type="textWrapping"/>
            </w:r>
            <w:r>
              <w:rPr>
                <w:rFonts w:hint="eastAsia" w:ascii="宋体" w:hAnsi="宋体" w:cs="宋体"/>
                <w:kern w:val="0"/>
                <w:sz w:val="20"/>
                <w:szCs w:val="20"/>
              </w:rPr>
              <w:t>②</w:t>
            </w:r>
            <w:r>
              <w:rPr>
                <w:kern w:val="0"/>
                <w:sz w:val="20"/>
                <w:szCs w:val="20"/>
              </w:rPr>
              <w:t>基础数据信息和会计信息资料是否完整；（0.3分）</w:t>
            </w:r>
            <w:r>
              <w:rPr>
                <w:kern w:val="0"/>
                <w:sz w:val="20"/>
                <w:szCs w:val="20"/>
              </w:rPr>
              <w:br w:type="textWrapping"/>
            </w:r>
            <w:r>
              <w:rPr>
                <w:rFonts w:hint="eastAsia" w:ascii="宋体" w:hAnsi="宋体" w:cs="宋体"/>
                <w:kern w:val="0"/>
                <w:sz w:val="20"/>
                <w:szCs w:val="20"/>
              </w:rPr>
              <w:t>③</w:t>
            </w:r>
            <w:r>
              <w:rPr>
                <w:kern w:val="0"/>
                <w:sz w:val="20"/>
                <w:szCs w:val="20"/>
              </w:rPr>
              <w:t>基础数据信息和会计信息资料是否准确。（0.3分）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1</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基础数据信息和会计信息资料</w:t>
            </w:r>
            <w:r>
              <w:rPr>
                <w:rFonts w:hint="eastAsia"/>
                <w:kern w:val="0"/>
                <w:sz w:val="20"/>
                <w:szCs w:val="20"/>
              </w:rPr>
              <w:t>真</w:t>
            </w:r>
            <w:r>
              <w:rPr>
                <w:kern w:val="0"/>
                <w:sz w:val="20"/>
                <w:szCs w:val="20"/>
              </w:rPr>
              <w:t>实、完整、准确</w:t>
            </w:r>
          </w:p>
        </w:tc>
      </w:tr>
      <w:tr>
        <w:tblPrEx>
          <w:tblCellMar>
            <w:top w:w="0" w:type="dxa"/>
            <w:left w:w="108" w:type="dxa"/>
            <w:bottom w:w="0" w:type="dxa"/>
            <w:right w:w="108" w:type="dxa"/>
          </w:tblCellMar>
        </w:tblPrEx>
        <w:trPr>
          <w:trHeight w:val="1290"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spacing w:val="-20"/>
                <w:kern w:val="0"/>
                <w:sz w:val="20"/>
                <w:szCs w:val="20"/>
              </w:rPr>
            </w:pPr>
            <w:r>
              <w:rPr>
                <w:spacing w:val="-20"/>
                <w:kern w:val="0"/>
                <w:sz w:val="20"/>
                <w:szCs w:val="20"/>
              </w:rPr>
              <w:t>资产管理（5分）</w:t>
            </w: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管理制度健全性（2分）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977" w:type="pct"/>
            <w:tcBorders>
              <w:top w:val="nil"/>
              <w:left w:val="nil"/>
              <w:bottom w:val="single" w:color="auto" w:sz="4" w:space="0"/>
              <w:right w:val="single" w:color="auto" w:sz="4" w:space="0"/>
            </w:tcBorders>
            <w:shd w:val="clear" w:color="auto" w:fill="auto"/>
            <w:vAlign w:val="center"/>
          </w:tcPr>
          <w:p>
            <w:pPr>
              <w:widowControl/>
              <w:rPr>
                <w:kern w:val="0"/>
                <w:sz w:val="20"/>
                <w:szCs w:val="20"/>
              </w:rPr>
            </w:pPr>
            <w:r>
              <w:rPr>
                <w:rFonts w:hint="eastAsia" w:ascii="宋体" w:hAnsi="宋体" w:cs="宋体"/>
                <w:kern w:val="0"/>
                <w:sz w:val="20"/>
                <w:szCs w:val="20"/>
              </w:rPr>
              <w:t>①</w:t>
            </w:r>
            <w:r>
              <w:rPr>
                <w:kern w:val="0"/>
                <w:sz w:val="20"/>
                <w:szCs w:val="20"/>
              </w:rPr>
              <w:t>是否已制定或具有资产管理制度；（1分）</w:t>
            </w:r>
          </w:p>
          <w:p>
            <w:pPr>
              <w:widowControl/>
              <w:rPr>
                <w:kern w:val="0"/>
                <w:sz w:val="20"/>
                <w:szCs w:val="20"/>
              </w:rPr>
            </w:pPr>
            <w:r>
              <w:rPr>
                <w:rFonts w:hint="eastAsia" w:ascii="宋体" w:hAnsi="宋体" w:cs="宋体"/>
                <w:kern w:val="0"/>
                <w:sz w:val="20"/>
                <w:szCs w:val="20"/>
              </w:rPr>
              <w:t>②</w:t>
            </w:r>
            <w:r>
              <w:rPr>
                <w:kern w:val="0"/>
                <w:sz w:val="20"/>
                <w:szCs w:val="20"/>
              </w:rPr>
              <w:t>相关资金管理制度是否合法、合规、完整；（0.5分）</w:t>
            </w:r>
          </w:p>
          <w:p>
            <w:pPr>
              <w:widowControl/>
              <w:rPr>
                <w:kern w:val="0"/>
                <w:sz w:val="20"/>
                <w:szCs w:val="20"/>
              </w:rPr>
            </w:pPr>
            <w:r>
              <w:rPr>
                <w:rFonts w:hint="eastAsia" w:ascii="宋体" w:hAnsi="宋体" w:cs="宋体"/>
                <w:kern w:val="0"/>
                <w:sz w:val="20"/>
                <w:szCs w:val="20"/>
              </w:rPr>
              <w:t>③</w:t>
            </w:r>
            <w:r>
              <w:rPr>
                <w:kern w:val="0"/>
                <w:sz w:val="20"/>
                <w:szCs w:val="20"/>
              </w:rPr>
              <w:t>相关资产管理制度是否得到有效执行。（0.5分）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kern w:val="0"/>
                <w:sz w:val="20"/>
                <w:szCs w:val="20"/>
              </w:rPr>
              <w:t>已</w:t>
            </w:r>
            <w:r>
              <w:rPr>
                <w:kern w:val="0"/>
                <w:sz w:val="20"/>
                <w:szCs w:val="20"/>
              </w:rPr>
              <w:t>制定且合法、合规、完整</w:t>
            </w:r>
            <w:r>
              <w:rPr>
                <w:rFonts w:hint="eastAsia"/>
                <w:kern w:val="0"/>
                <w:sz w:val="20"/>
                <w:szCs w:val="20"/>
              </w:rPr>
              <w:t>，</w:t>
            </w:r>
            <w:r>
              <w:rPr>
                <w:kern w:val="0"/>
                <w:sz w:val="20"/>
                <w:szCs w:val="20"/>
              </w:rPr>
              <w:t>并</w:t>
            </w:r>
            <w:r>
              <w:rPr>
                <w:rFonts w:hint="eastAsia"/>
                <w:kern w:val="0"/>
                <w:sz w:val="20"/>
                <w:szCs w:val="20"/>
              </w:rPr>
              <w:t>得</w:t>
            </w:r>
            <w:r>
              <w:rPr>
                <w:kern w:val="0"/>
                <w:sz w:val="20"/>
                <w:szCs w:val="20"/>
              </w:rPr>
              <w:t>到有效执行</w:t>
            </w:r>
          </w:p>
        </w:tc>
      </w:tr>
      <w:tr>
        <w:tblPrEx>
          <w:tblCellMar>
            <w:top w:w="0" w:type="dxa"/>
            <w:left w:w="108" w:type="dxa"/>
            <w:bottom w:w="0" w:type="dxa"/>
            <w:right w:w="108" w:type="dxa"/>
          </w:tblCellMar>
        </w:tblPrEx>
        <w:trPr>
          <w:trHeight w:val="2198"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资产管理安全性（2分）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部门（单位）的资产是否保存完整、使用合规、配置合理、处置规范、收入及时足额上缴，用以反映和考核部门（单位）资产安全运行情况。</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资产保存是否完整；（0.4分）</w:t>
            </w:r>
            <w:r>
              <w:rPr>
                <w:kern w:val="0"/>
                <w:sz w:val="20"/>
                <w:szCs w:val="20"/>
              </w:rPr>
              <w:br w:type="textWrapping"/>
            </w:r>
            <w:r>
              <w:rPr>
                <w:rFonts w:hint="eastAsia" w:ascii="宋体" w:hAnsi="宋体" w:cs="宋体"/>
                <w:kern w:val="0"/>
                <w:sz w:val="20"/>
                <w:szCs w:val="20"/>
              </w:rPr>
              <w:t>②</w:t>
            </w:r>
            <w:r>
              <w:rPr>
                <w:kern w:val="0"/>
                <w:sz w:val="20"/>
                <w:szCs w:val="20"/>
              </w:rPr>
              <w:t>资产配置是否合理；（0.4分）</w:t>
            </w:r>
            <w:r>
              <w:rPr>
                <w:kern w:val="0"/>
                <w:sz w:val="20"/>
                <w:szCs w:val="20"/>
              </w:rPr>
              <w:br w:type="textWrapping"/>
            </w:r>
            <w:r>
              <w:rPr>
                <w:rFonts w:hint="eastAsia" w:ascii="宋体" w:hAnsi="宋体" w:cs="宋体"/>
                <w:kern w:val="0"/>
                <w:sz w:val="20"/>
                <w:szCs w:val="20"/>
              </w:rPr>
              <w:t>③</w:t>
            </w:r>
            <w:r>
              <w:rPr>
                <w:kern w:val="0"/>
                <w:sz w:val="20"/>
                <w:szCs w:val="20"/>
              </w:rPr>
              <w:t>资产处置是否规范；（0.4分）</w:t>
            </w:r>
            <w:r>
              <w:rPr>
                <w:kern w:val="0"/>
                <w:sz w:val="20"/>
                <w:szCs w:val="20"/>
              </w:rPr>
              <w:br w:type="textWrapping"/>
            </w:r>
            <w:r>
              <w:rPr>
                <w:rFonts w:hint="eastAsia" w:ascii="宋体" w:hAnsi="宋体" w:cs="宋体"/>
                <w:kern w:val="0"/>
                <w:sz w:val="20"/>
                <w:szCs w:val="20"/>
              </w:rPr>
              <w:t>④</w:t>
            </w:r>
            <w:r>
              <w:rPr>
                <w:kern w:val="0"/>
                <w:sz w:val="20"/>
                <w:szCs w:val="20"/>
              </w:rPr>
              <w:t>资产账务管理是否合规，是否帐实相符；（0.4分）</w:t>
            </w:r>
            <w:r>
              <w:rPr>
                <w:kern w:val="0"/>
                <w:sz w:val="20"/>
                <w:szCs w:val="20"/>
              </w:rPr>
              <w:br w:type="textWrapping"/>
            </w:r>
            <w:r>
              <w:rPr>
                <w:rFonts w:hint="eastAsia" w:ascii="宋体" w:hAnsi="宋体" w:cs="宋体"/>
                <w:kern w:val="0"/>
                <w:sz w:val="20"/>
                <w:szCs w:val="20"/>
              </w:rPr>
              <w:t>⑤</w:t>
            </w:r>
            <w:r>
              <w:rPr>
                <w:kern w:val="0"/>
                <w:sz w:val="20"/>
                <w:szCs w:val="20"/>
              </w:rPr>
              <w:t>资产是否有偿使用及处置收入及时足额上缴。（0.4分）</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kern w:val="0"/>
                <w:sz w:val="24"/>
              </w:rPr>
              <w:t>2</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kern w:val="0"/>
                <w:sz w:val="24"/>
              </w:rPr>
              <w:t>　</w:t>
            </w:r>
            <w:r>
              <w:rPr>
                <w:rFonts w:hint="eastAsia"/>
                <w:kern w:val="0"/>
                <w:sz w:val="20"/>
                <w:szCs w:val="20"/>
              </w:rPr>
              <w:t>本</w:t>
            </w:r>
            <w:r>
              <w:rPr>
                <w:rFonts w:ascii="宋体" w:hAnsi="宋体" w:cs="宋体"/>
                <w:kern w:val="0"/>
                <w:sz w:val="20"/>
                <w:szCs w:val="20"/>
              </w:rPr>
              <w:t>单位资产保存完整、使用合规、配置</w:t>
            </w:r>
            <w:r>
              <w:rPr>
                <w:rFonts w:hint="eastAsia" w:ascii="宋体" w:hAnsi="宋体" w:cs="宋体"/>
                <w:kern w:val="0"/>
                <w:sz w:val="20"/>
                <w:szCs w:val="20"/>
              </w:rPr>
              <w:t>、</w:t>
            </w:r>
            <w:r>
              <w:rPr>
                <w:rFonts w:ascii="宋体" w:hAnsi="宋体" w:cs="宋体"/>
                <w:kern w:val="0"/>
                <w:sz w:val="20"/>
                <w:szCs w:val="20"/>
              </w:rPr>
              <w:t>合理、处置规范、收入及时足额上缴</w:t>
            </w:r>
            <w:r>
              <w:rPr>
                <w:rFonts w:hint="eastAsia" w:ascii="宋体" w:hAnsi="宋体" w:cs="宋体"/>
                <w:kern w:val="0"/>
                <w:sz w:val="20"/>
                <w:szCs w:val="20"/>
              </w:rPr>
              <w:t>。</w:t>
            </w:r>
          </w:p>
        </w:tc>
      </w:tr>
      <w:tr>
        <w:tblPrEx>
          <w:tblCellMar>
            <w:top w:w="0" w:type="dxa"/>
            <w:left w:w="108" w:type="dxa"/>
            <w:bottom w:w="0" w:type="dxa"/>
            <w:right w:w="108" w:type="dxa"/>
          </w:tblCellMar>
        </w:tblPrEx>
        <w:trPr>
          <w:trHeight w:val="1691" w:hRule="atLeast"/>
        </w:trPr>
        <w:tc>
          <w:tcPr>
            <w:tcW w:w="283"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固定资产利用率（1分）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部门（单位）实际在用固定资产总额与所有固定资产总额的比率，用以反映和考核部门（单位）固定资产使用效率程度。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固定资产利用率=（实际在用固定资产总额/所有固定资产总额）×100%。（利用率为100%的计1分，每降1个百分点扣0.1分，扣完为止）</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1</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固定资产利用率=</w:t>
            </w:r>
          </w:p>
          <w:p>
            <w:pPr>
              <w:widowControl/>
              <w:jc w:val="left"/>
              <w:rPr>
                <w:kern w:val="0"/>
                <w:sz w:val="24"/>
              </w:rPr>
            </w:pPr>
            <w:r>
              <w:rPr>
                <w:rFonts w:hint="eastAsia"/>
                <w:kern w:val="0"/>
                <w:sz w:val="20"/>
                <w:szCs w:val="20"/>
              </w:rPr>
              <w:t>779707.66/779707.66</w:t>
            </w:r>
            <w:r>
              <w:rPr>
                <w:kern w:val="0"/>
                <w:sz w:val="20"/>
                <w:szCs w:val="20"/>
              </w:rPr>
              <w:t>=100%</w:t>
            </w:r>
          </w:p>
        </w:tc>
      </w:tr>
      <w:tr>
        <w:tblPrEx>
          <w:tblCellMar>
            <w:top w:w="0" w:type="dxa"/>
            <w:left w:w="108" w:type="dxa"/>
            <w:bottom w:w="0" w:type="dxa"/>
            <w:right w:w="108" w:type="dxa"/>
          </w:tblCellMar>
        </w:tblPrEx>
        <w:trPr>
          <w:trHeight w:val="2821" w:hRule="atLeast"/>
        </w:trPr>
        <w:tc>
          <w:tcPr>
            <w:tcW w:w="283" w:type="pct"/>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kern w:val="0"/>
                <w:sz w:val="20"/>
                <w:szCs w:val="20"/>
              </w:rPr>
            </w:pPr>
            <w:r>
              <w:rPr>
                <w:kern w:val="0"/>
                <w:sz w:val="20"/>
                <w:szCs w:val="20"/>
              </w:rPr>
              <w:t>产 出（30分）</w:t>
            </w:r>
          </w:p>
        </w:tc>
        <w:tc>
          <w:tcPr>
            <w:tcW w:w="28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spacing w:val="-20"/>
                <w:kern w:val="0"/>
                <w:sz w:val="20"/>
                <w:szCs w:val="20"/>
              </w:rPr>
            </w:pPr>
            <w:r>
              <w:rPr>
                <w:spacing w:val="-20"/>
                <w:kern w:val="0"/>
                <w:sz w:val="20"/>
                <w:szCs w:val="20"/>
              </w:rPr>
              <w:t>职责履行（30分）</w:t>
            </w: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实际完成率（8分）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部门（单位）履行职责而实际完成工作数与计划工作数的比率，用以反映和考核部门（单位）履职工作任务目标的实现程度。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实际完成率=（实际完成工作数/计划工作数）×100%。（实际得分=实际工作完成率*8分）</w:t>
            </w:r>
            <w:r>
              <w:rPr>
                <w:kern w:val="0"/>
                <w:sz w:val="20"/>
                <w:szCs w:val="20"/>
              </w:rPr>
              <w:br w:type="textWrapping"/>
            </w:r>
            <w:r>
              <w:rPr>
                <w:kern w:val="0"/>
                <w:sz w:val="20"/>
                <w:szCs w:val="20"/>
              </w:rPr>
              <w:t>实际完成工作数：一定时期（年度或规划期）内部门（单位）实际完成工作任务的数量。</w:t>
            </w:r>
            <w:r>
              <w:rPr>
                <w:kern w:val="0"/>
                <w:sz w:val="20"/>
                <w:szCs w:val="20"/>
              </w:rPr>
              <w:br w:type="textWrapping"/>
            </w:r>
            <w:r>
              <w:rPr>
                <w:kern w:val="0"/>
                <w:sz w:val="20"/>
                <w:szCs w:val="20"/>
              </w:rPr>
              <w:t>计划工作数：部门（单位）整体绩效目标确定的一定时期（年度或规划期）内预计完成工作任务的数量。</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8</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实际完成率=1/1=100%</w:t>
            </w:r>
          </w:p>
          <w:p>
            <w:pPr>
              <w:widowControl/>
              <w:jc w:val="left"/>
              <w:rPr>
                <w:kern w:val="0"/>
                <w:sz w:val="24"/>
              </w:rPr>
            </w:pPr>
          </w:p>
        </w:tc>
      </w:tr>
      <w:tr>
        <w:tblPrEx>
          <w:tblCellMar>
            <w:top w:w="0" w:type="dxa"/>
            <w:left w:w="108" w:type="dxa"/>
            <w:bottom w:w="0" w:type="dxa"/>
            <w:right w:w="108" w:type="dxa"/>
          </w:tblCellMar>
        </w:tblPrEx>
        <w:trPr>
          <w:trHeight w:val="173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完成及时率（4分）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部门（单位）在规定时限内及时完成的实际工作数与计划工作数的比率,用以反映和考核部门履职时效目标的实现程度。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完成及时率=（及时完成实际工作数/计划工作数）×100%。（1--4季度各得1分）</w:t>
            </w:r>
            <w:r>
              <w:rPr>
                <w:kern w:val="0"/>
                <w:sz w:val="20"/>
                <w:szCs w:val="20"/>
              </w:rPr>
              <w:br w:type="textWrapping"/>
            </w:r>
            <w:r>
              <w:rPr>
                <w:kern w:val="0"/>
                <w:sz w:val="20"/>
                <w:szCs w:val="20"/>
              </w:rPr>
              <w:t>及时完成实际工作数：部门（单位）按照整体绩效目标确定的时限实际完成的工作任务数量。</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4</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完成及时率=1/1=100%</w:t>
            </w:r>
          </w:p>
        </w:tc>
      </w:tr>
      <w:tr>
        <w:tblPrEx>
          <w:tblCellMar>
            <w:top w:w="0" w:type="dxa"/>
            <w:left w:w="108" w:type="dxa"/>
            <w:bottom w:w="0" w:type="dxa"/>
            <w:right w:w="108" w:type="dxa"/>
          </w:tblCellMar>
        </w:tblPrEx>
        <w:trPr>
          <w:trHeight w:val="2267"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质量达标率（8分）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达到质量标准（绩效标准值）的实际工作数与计划工作数的比率,用以反映和考核部门履职质量目标的实现程度。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质量达标率=（质量达标实际工作数/计划工作数）×100%。（实际得分=达标率*8分）</w:t>
            </w:r>
            <w:r>
              <w:rPr>
                <w:kern w:val="0"/>
                <w:sz w:val="20"/>
                <w:szCs w:val="20"/>
              </w:rPr>
              <w:br w:type="textWrapping"/>
            </w:r>
            <w:r>
              <w:rPr>
                <w:kern w:val="0"/>
                <w:sz w:val="20"/>
                <w:szCs w:val="20"/>
              </w:rPr>
              <w:t>质量达标实际工作数：一定时期（年度或规划期）内部门（单位）实际完成工作数中达到部门绩效目标要求（绩效标准值）的工作任务数量。</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8</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kern w:val="0"/>
                <w:sz w:val="20"/>
                <w:szCs w:val="20"/>
              </w:rPr>
              <w:t>质量达标率=1/1=100%</w:t>
            </w:r>
          </w:p>
        </w:tc>
      </w:tr>
      <w:tr>
        <w:tblPrEx>
          <w:tblCellMar>
            <w:top w:w="0" w:type="dxa"/>
            <w:left w:w="108" w:type="dxa"/>
            <w:bottom w:w="0" w:type="dxa"/>
            <w:right w:w="108" w:type="dxa"/>
          </w:tblCellMar>
        </w:tblPrEx>
        <w:trPr>
          <w:trHeight w:val="1867"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284"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326"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重点工作办结率（10分）</w:t>
            </w:r>
          </w:p>
        </w:tc>
        <w:tc>
          <w:tcPr>
            <w:tcW w:w="760"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部门（单位）年度重点工作实际完成数与交办或下达数的比率，用以反映部门（单位）对重点工作的办理落实程度。</w:t>
            </w:r>
          </w:p>
        </w:tc>
        <w:tc>
          <w:tcPr>
            <w:tcW w:w="977" w:type="pct"/>
            <w:tcBorders>
              <w:top w:val="nil"/>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重点工作办结率=（重点工作实际完成数/交办或下达数）×100%。（实际得分=办结率*10分）</w:t>
            </w:r>
            <w:r>
              <w:rPr>
                <w:kern w:val="0"/>
                <w:sz w:val="20"/>
                <w:szCs w:val="20"/>
              </w:rPr>
              <w:br w:type="textWrapping"/>
            </w:r>
            <w:r>
              <w:rPr>
                <w:kern w:val="0"/>
                <w:sz w:val="20"/>
                <w:szCs w:val="20"/>
              </w:rPr>
              <w:t>重点工作是指党委、政府、人大、相关部门交办或下达的工作任务。</w:t>
            </w:r>
          </w:p>
        </w:tc>
        <w:tc>
          <w:tcPr>
            <w:tcW w:w="451" w:type="pct"/>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kern w:val="0"/>
                <w:sz w:val="24"/>
              </w:rPr>
              <w:t>10</w:t>
            </w:r>
          </w:p>
        </w:tc>
        <w:tc>
          <w:tcPr>
            <w:tcW w:w="1919" w:type="pct"/>
            <w:tcBorders>
              <w:top w:val="nil"/>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重点工作办结率=1</w:t>
            </w:r>
            <w:r>
              <w:rPr>
                <w:rFonts w:hint="eastAsia"/>
                <w:kern w:val="0"/>
                <w:sz w:val="20"/>
                <w:szCs w:val="20"/>
              </w:rPr>
              <w:t>/1=</w:t>
            </w:r>
            <w:r>
              <w:rPr>
                <w:kern w:val="0"/>
                <w:sz w:val="20"/>
                <w:szCs w:val="20"/>
              </w:rPr>
              <w:t>100%</w:t>
            </w:r>
          </w:p>
        </w:tc>
      </w:tr>
      <w:tr>
        <w:tblPrEx>
          <w:tblCellMar>
            <w:top w:w="0" w:type="dxa"/>
            <w:left w:w="108" w:type="dxa"/>
            <w:bottom w:w="0" w:type="dxa"/>
            <w:right w:w="108" w:type="dxa"/>
          </w:tblCellMar>
        </w:tblPrEx>
        <w:trPr>
          <w:trHeight w:val="989" w:hRule="atLeast"/>
        </w:trPr>
        <w:tc>
          <w:tcPr>
            <w:tcW w:w="283" w:type="pct"/>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jc w:val="center"/>
              <w:rPr>
                <w:kern w:val="0"/>
                <w:sz w:val="20"/>
                <w:szCs w:val="20"/>
              </w:rPr>
            </w:pPr>
            <w:r>
              <w:rPr>
                <w:kern w:val="0"/>
                <w:sz w:val="20"/>
                <w:szCs w:val="20"/>
              </w:rPr>
              <w:t>效 果（20分）</w:t>
            </w:r>
          </w:p>
        </w:tc>
        <w:tc>
          <w:tcPr>
            <w:tcW w:w="2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pacing w:val="-20"/>
                <w:kern w:val="0"/>
                <w:sz w:val="20"/>
                <w:szCs w:val="20"/>
              </w:rPr>
            </w:pPr>
            <w:r>
              <w:rPr>
                <w:spacing w:val="-20"/>
                <w:kern w:val="0"/>
                <w:sz w:val="20"/>
                <w:szCs w:val="20"/>
              </w:rPr>
              <w:t>履职效益（20分）</w:t>
            </w:r>
          </w:p>
        </w:tc>
        <w:tc>
          <w:tcPr>
            <w:tcW w:w="326"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经济效益（5分）</w:t>
            </w:r>
          </w:p>
        </w:tc>
        <w:tc>
          <w:tcPr>
            <w:tcW w:w="760"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部门（单位）履行职责对经济发展所带来的直接或间接影响。</w:t>
            </w:r>
          </w:p>
        </w:tc>
        <w:tc>
          <w:tcPr>
            <w:tcW w:w="97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45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5</w:t>
            </w:r>
          </w:p>
        </w:tc>
        <w:tc>
          <w:tcPr>
            <w:tcW w:w="191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hint="eastAsia"/>
                <w:kern w:val="0"/>
                <w:sz w:val="20"/>
                <w:szCs w:val="20"/>
              </w:rPr>
              <w:t>促</w:t>
            </w:r>
            <w:r>
              <w:rPr>
                <w:kern w:val="0"/>
                <w:sz w:val="20"/>
                <w:szCs w:val="20"/>
              </w:rPr>
              <w:t>进沿线产业发展，降低运输成本</w:t>
            </w:r>
          </w:p>
        </w:tc>
      </w:tr>
      <w:tr>
        <w:tblPrEx>
          <w:tblCellMar>
            <w:top w:w="0" w:type="dxa"/>
            <w:left w:w="108" w:type="dxa"/>
            <w:bottom w:w="0" w:type="dxa"/>
            <w:right w:w="108" w:type="dxa"/>
          </w:tblCellMar>
        </w:tblPrEx>
        <w:trPr>
          <w:trHeight w:val="1117" w:hRule="atLeast"/>
        </w:trPr>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2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26"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社会效益（5分）</w:t>
            </w:r>
          </w:p>
        </w:tc>
        <w:tc>
          <w:tcPr>
            <w:tcW w:w="760"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部门（单位）履行职责对社会发展所带来的直接或间接影响。</w:t>
            </w:r>
          </w:p>
        </w:tc>
        <w:tc>
          <w:tcPr>
            <w:tcW w:w="97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5</w:t>
            </w:r>
          </w:p>
        </w:tc>
        <w:tc>
          <w:tcPr>
            <w:tcW w:w="191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4"/>
              </w:rPr>
              <w:t>　</w:t>
            </w:r>
            <w:r>
              <w:rPr>
                <w:rFonts w:hint="eastAsia"/>
                <w:kern w:val="0"/>
                <w:sz w:val="20"/>
                <w:szCs w:val="20"/>
              </w:rPr>
              <w:t>基</w:t>
            </w:r>
            <w:r>
              <w:rPr>
                <w:kern w:val="0"/>
                <w:sz w:val="20"/>
                <w:szCs w:val="20"/>
              </w:rPr>
              <w:t>本建成便捷、顺畅的普通国</w:t>
            </w:r>
            <w:r>
              <w:rPr>
                <w:rFonts w:hint="eastAsia"/>
                <w:kern w:val="0"/>
                <w:sz w:val="20"/>
                <w:szCs w:val="20"/>
              </w:rPr>
              <w:t>省</w:t>
            </w:r>
            <w:r>
              <w:rPr>
                <w:kern w:val="0"/>
                <w:sz w:val="20"/>
                <w:szCs w:val="20"/>
              </w:rPr>
              <w:t>干线公路网</w:t>
            </w:r>
          </w:p>
        </w:tc>
      </w:tr>
      <w:tr>
        <w:tblPrEx>
          <w:tblCellMar>
            <w:top w:w="0" w:type="dxa"/>
            <w:left w:w="108" w:type="dxa"/>
            <w:bottom w:w="0" w:type="dxa"/>
            <w:right w:w="108" w:type="dxa"/>
          </w:tblCellMar>
        </w:tblPrEx>
        <w:trPr>
          <w:trHeight w:val="991" w:hRule="atLeast"/>
        </w:trPr>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2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26"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生态效益（5分）</w:t>
            </w:r>
          </w:p>
        </w:tc>
        <w:tc>
          <w:tcPr>
            <w:tcW w:w="760"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部门（单位）履行职责对生态环境所带来的直接或间接影响。</w:t>
            </w:r>
          </w:p>
        </w:tc>
        <w:tc>
          <w:tcPr>
            <w:tcW w:w="97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5</w:t>
            </w:r>
          </w:p>
        </w:tc>
        <w:tc>
          <w:tcPr>
            <w:tcW w:w="191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　</w:t>
            </w:r>
            <w:r>
              <w:rPr>
                <w:rFonts w:hint="eastAsia"/>
                <w:kern w:val="0"/>
                <w:sz w:val="20"/>
                <w:szCs w:val="20"/>
              </w:rPr>
              <w:t>加</w:t>
            </w:r>
            <w:r>
              <w:rPr>
                <w:kern w:val="0"/>
                <w:sz w:val="20"/>
                <w:szCs w:val="20"/>
              </w:rPr>
              <w:t>快城乡统筹发展</w:t>
            </w:r>
            <w:r>
              <w:rPr>
                <w:rFonts w:hint="eastAsia"/>
                <w:kern w:val="0"/>
                <w:sz w:val="20"/>
                <w:szCs w:val="20"/>
              </w:rPr>
              <w:t>逐</w:t>
            </w:r>
            <w:r>
              <w:rPr>
                <w:kern w:val="0"/>
                <w:sz w:val="20"/>
                <w:szCs w:val="20"/>
              </w:rPr>
              <w:t>步实现城乡交通运</w:t>
            </w:r>
            <w:r>
              <w:rPr>
                <w:rFonts w:hint="eastAsia"/>
                <w:kern w:val="0"/>
                <w:sz w:val="20"/>
                <w:szCs w:val="20"/>
              </w:rPr>
              <w:t>输服</w:t>
            </w:r>
            <w:r>
              <w:rPr>
                <w:kern w:val="0"/>
                <w:sz w:val="20"/>
                <w:szCs w:val="20"/>
              </w:rPr>
              <w:t>务均等化</w:t>
            </w:r>
          </w:p>
        </w:tc>
      </w:tr>
      <w:tr>
        <w:tblPrEx>
          <w:tblCellMar>
            <w:top w:w="0" w:type="dxa"/>
            <w:left w:w="108" w:type="dxa"/>
            <w:bottom w:w="0" w:type="dxa"/>
            <w:right w:w="108" w:type="dxa"/>
          </w:tblCellMar>
        </w:tblPrEx>
        <w:trPr>
          <w:trHeight w:val="1687" w:hRule="atLeast"/>
        </w:trPr>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2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26"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社会公众或服务对象满意度（5分）</w:t>
            </w:r>
          </w:p>
        </w:tc>
        <w:tc>
          <w:tcPr>
            <w:tcW w:w="760"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社会公众或部门（单位）的服务对象对部门履职效果的满意程度。</w:t>
            </w:r>
          </w:p>
        </w:tc>
        <w:tc>
          <w:tcPr>
            <w:tcW w:w="97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社会公众或服务对象是指部门（单位）履行职责而影响到的部门、群体或个人。一般采取社会调查的方式。（按收到的服务对象的满意率计算得分）</w:t>
            </w:r>
          </w:p>
        </w:tc>
        <w:tc>
          <w:tcPr>
            <w:tcW w:w="45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r>
              <w:rPr>
                <w:rFonts w:hint="eastAsia"/>
                <w:kern w:val="0"/>
                <w:sz w:val="24"/>
              </w:rPr>
              <w:t>5</w:t>
            </w:r>
          </w:p>
        </w:tc>
        <w:tc>
          <w:tcPr>
            <w:tcW w:w="191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0"/>
                <w:szCs w:val="20"/>
              </w:rPr>
            </w:pPr>
            <w:r>
              <w:rPr>
                <w:kern w:val="0"/>
                <w:sz w:val="20"/>
                <w:szCs w:val="20"/>
              </w:rPr>
              <w:t>服务对象对部门履职效果的满意程</w:t>
            </w:r>
          </w:p>
          <w:p>
            <w:pPr>
              <w:widowControl/>
              <w:jc w:val="left"/>
              <w:rPr>
                <w:kern w:val="0"/>
                <w:sz w:val="24"/>
              </w:rPr>
            </w:pPr>
            <w:r>
              <w:rPr>
                <w:kern w:val="0"/>
                <w:sz w:val="20"/>
                <w:szCs w:val="20"/>
              </w:rPr>
              <w:t>度</w:t>
            </w:r>
            <w:r>
              <w:rPr>
                <w:rFonts w:hint="eastAsia"/>
                <w:kern w:val="0"/>
                <w:sz w:val="20"/>
                <w:szCs w:val="20"/>
              </w:rPr>
              <w:t>达</w:t>
            </w:r>
            <w:r>
              <w:rPr>
                <w:kern w:val="0"/>
                <w:sz w:val="20"/>
                <w:szCs w:val="20"/>
              </w:rPr>
              <w:t>到</w:t>
            </w:r>
            <w:r>
              <w:rPr>
                <w:rFonts w:hint="eastAsia"/>
                <w:kern w:val="0"/>
                <w:sz w:val="20"/>
                <w:szCs w:val="20"/>
              </w:rPr>
              <w:t>100%以</w:t>
            </w:r>
            <w:r>
              <w:rPr>
                <w:kern w:val="0"/>
                <w:sz w:val="20"/>
                <w:szCs w:val="20"/>
              </w:rPr>
              <w:t>上。</w:t>
            </w:r>
          </w:p>
        </w:tc>
      </w:tr>
      <w:tr>
        <w:tblPrEx>
          <w:tblCellMar>
            <w:top w:w="0" w:type="dxa"/>
            <w:left w:w="108" w:type="dxa"/>
            <w:bottom w:w="0" w:type="dxa"/>
            <w:right w:w="108" w:type="dxa"/>
          </w:tblCellMar>
        </w:tblPrEx>
        <w:trPr>
          <w:trHeight w:val="744" w:hRule="atLeast"/>
        </w:trPr>
        <w:tc>
          <w:tcPr>
            <w:tcW w:w="2630"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t>合      计</w:t>
            </w:r>
          </w:p>
        </w:tc>
        <w:tc>
          <w:tcPr>
            <w:tcW w:w="45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kern w:val="0"/>
                <w:sz w:val="24"/>
              </w:rPr>
              <w:t>92.9</w:t>
            </w:r>
          </w:p>
        </w:tc>
        <w:tc>
          <w:tcPr>
            <w:tcW w:w="191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p>
        </w:tc>
      </w:tr>
    </w:tbl>
    <w:p>
      <w:pPr>
        <w:pStyle w:val="2"/>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rPr>
          <w:rFonts w:hint="eastAsia"/>
        </w:rPr>
      </w:pPr>
    </w:p>
    <w:p>
      <w:pPr>
        <w:spacing w:line="620" w:lineRule="exact"/>
        <w:jc w:val="left"/>
        <w:rPr>
          <w:rFonts w:eastAsia="方正黑体简体"/>
          <w:color w:val="000000"/>
          <w:kern w:val="0"/>
          <w:sz w:val="32"/>
          <w:szCs w:val="32"/>
        </w:rPr>
      </w:pPr>
      <w:r>
        <w:rPr>
          <w:rFonts w:eastAsia="方正黑体简体"/>
          <w:color w:val="000000"/>
          <w:kern w:val="0"/>
          <w:sz w:val="32"/>
          <w:szCs w:val="32"/>
        </w:rPr>
        <w:t>附件</w:t>
      </w:r>
      <w:r>
        <w:rPr>
          <w:rFonts w:hint="eastAsia" w:eastAsia="方正黑体简体"/>
          <w:color w:val="000000"/>
          <w:kern w:val="0"/>
          <w:sz w:val="32"/>
          <w:szCs w:val="32"/>
        </w:rPr>
        <w:t>4</w:t>
      </w:r>
    </w:p>
    <w:p>
      <w:pPr>
        <w:spacing w:line="620" w:lineRule="exact"/>
        <w:jc w:val="center"/>
        <w:rPr>
          <w:rFonts w:eastAsia="方正小标宋简体"/>
          <w:color w:val="000000"/>
          <w:kern w:val="0"/>
          <w:sz w:val="36"/>
          <w:szCs w:val="36"/>
        </w:rPr>
      </w:pPr>
      <w:r>
        <w:rPr>
          <w:rFonts w:eastAsia="方正小标宋简体"/>
          <w:color w:val="000000"/>
          <w:kern w:val="0"/>
          <w:sz w:val="36"/>
          <w:szCs w:val="36"/>
        </w:rPr>
        <w:t>20</w:t>
      </w:r>
      <w:r>
        <w:rPr>
          <w:rFonts w:hint="eastAsia" w:eastAsia="方正小标宋简体"/>
          <w:color w:val="000000"/>
          <w:kern w:val="0"/>
          <w:sz w:val="36"/>
          <w:szCs w:val="36"/>
        </w:rPr>
        <w:t>21</w:t>
      </w:r>
      <w:r>
        <w:rPr>
          <w:rFonts w:eastAsia="方正小标宋简体"/>
          <w:color w:val="000000"/>
          <w:kern w:val="0"/>
          <w:sz w:val="36"/>
          <w:szCs w:val="36"/>
        </w:rPr>
        <w:t>年度市本级部门整体支出绩效目标完成情况表</w:t>
      </w:r>
    </w:p>
    <w:p>
      <w:pPr>
        <w:pStyle w:val="2"/>
      </w:pPr>
    </w:p>
    <w:tbl>
      <w:tblPr>
        <w:tblStyle w:val="10"/>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83"/>
        <w:gridCol w:w="753"/>
        <w:gridCol w:w="916"/>
        <w:gridCol w:w="172"/>
        <w:gridCol w:w="1114"/>
        <w:gridCol w:w="1685"/>
        <w:gridCol w:w="36"/>
        <w:gridCol w:w="2038"/>
        <w:gridCol w:w="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664" w:hRule="atLeast"/>
        </w:trPr>
        <w:tc>
          <w:tcPr>
            <w:tcW w:w="481" w:type="pct"/>
            <w:noWrap/>
            <w:vAlign w:val="center"/>
          </w:tcPr>
          <w:p>
            <w:pPr>
              <w:widowControl/>
              <w:jc w:val="center"/>
              <w:rPr>
                <w:color w:val="000000"/>
                <w:kern w:val="0"/>
                <w:sz w:val="18"/>
                <w:szCs w:val="18"/>
              </w:rPr>
            </w:pPr>
            <w:r>
              <w:rPr>
                <w:color w:val="000000"/>
                <w:kern w:val="0"/>
                <w:sz w:val="18"/>
                <w:szCs w:val="18"/>
              </w:rPr>
              <w:t>部门（单位）名称</w:t>
            </w:r>
          </w:p>
        </w:tc>
        <w:tc>
          <w:tcPr>
            <w:tcW w:w="2286" w:type="pct"/>
            <w:gridSpan w:val="5"/>
            <w:noWrap/>
            <w:vAlign w:val="center"/>
          </w:tcPr>
          <w:p>
            <w:pPr>
              <w:widowControl/>
              <w:jc w:val="center"/>
              <w:rPr>
                <w:color w:val="000000"/>
                <w:kern w:val="0"/>
                <w:sz w:val="18"/>
                <w:szCs w:val="18"/>
              </w:rPr>
            </w:pPr>
            <w:r>
              <w:rPr>
                <w:color w:val="000000"/>
                <w:kern w:val="0"/>
                <w:sz w:val="18"/>
                <w:szCs w:val="18"/>
              </w:rPr>
              <w:t>　</w:t>
            </w:r>
            <w:r>
              <w:rPr>
                <w:rFonts w:hint="eastAsia"/>
                <w:color w:val="000000"/>
                <w:kern w:val="0"/>
                <w:sz w:val="18"/>
                <w:szCs w:val="18"/>
              </w:rPr>
              <w:t>资阳市公路事业发展中心</w:t>
            </w:r>
          </w:p>
        </w:tc>
        <w:tc>
          <w:tcPr>
            <w:tcW w:w="978" w:type="pct"/>
            <w:noWrap/>
            <w:vAlign w:val="center"/>
          </w:tcPr>
          <w:p>
            <w:pPr>
              <w:widowControl/>
              <w:jc w:val="center"/>
              <w:rPr>
                <w:color w:val="000000"/>
                <w:kern w:val="0"/>
                <w:sz w:val="18"/>
                <w:szCs w:val="18"/>
              </w:rPr>
            </w:pPr>
            <w:r>
              <w:rPr>
                <w:color w:val="000000"/>
                <w:kern w:val="0"/>
                <w:sz w:val="18"/>
                <w:szCs w:val="18"/>
              </w:rPr>
              <w:t>预算单位编码</w:t>
            </w:r>
          </w:p>
        </w:tc>
        <w:tc>
          <w:tcPr>
            <w:tcW w:w="120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161102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780" w:hRule="atLeast"/>
        </w:trPr>
        <w:tc>
          <w:tcPr>
            <w:tcW w:w="481"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571" w:type="pct"/>
            <w:noWrap/>
            <w:vAlign w:val="center"/>
          </w:tcPr>
          <w:p>
            <w:pPr>
              <w:widowControl/>
              <w:jc w:val="center"/>
              <w:rPr>
                <w:color w:val="000000"/>
                <w:kern w:val="0"/>
                <w:sz w:val="18"/>
                <w:szCs w:val="18"/>
              </w:rPr>
            </w:pPr>
            <w:r>
              <w:rPr>
                <w:color w:val="000000"/>
                <w:kern w:val="0"/>
                <w:sz w:val="18"/>
                <w:szCs w:val="18"/>
              </w:rPr>
              <w:t>项目</w:t>
            </w:r>
          </w:p>
        </w:tc>
        <w:tc>
          <w:tcPr>
            <w:tcW w:w="437" w:type="pct"/>
            <w:noWrap/>
            <w:vAlign w:val="center"/>
          </w:tcPr>
          <w:p>
            <w:pPr>
              <w:widowControl/>
              <w:jc w:val="center"/>
              <w:rPr>
                <w:color w:val="000000"/>
                <w:kern w:val="0"/>
                <w:sz w:val="18"/>
                <w:szCs w:val="18"/>
              </w:rPr>
            </w:pPr>
            <w:r>
              <w:rPr>
                <w:color w:val="000000"/>
                <w:kern w:val="0"/>
                <w:sz w:val="18"/>
                <w:szCs w:val="18"/>
              </w:rPr>
              <w:t>预算额(百元)</w:t>
            </w:r>
          </w:p>
        </w:tc>
        <w:tc>
          <w:tcPr>
            <w:tcW w:w="532" w:type="pct"/>
            <w:noWrap/>
            <w:vAlign w:val="center"/>
          </w:tcPr>
          <w:p>
            <w:pPr>
              <w:widowControl/>
              <w:jc w:val="center"/>
              <w:rPr>
                <w:color w:val="000000"/>
                <w:kern w:val="0"/>
                <w:sz w:val="18"/>
                <w:szCs w:val="18"/>
              </w:rPr>
            </w:pPr>
            <w:r>
              <w:rPr>
                <w:color w:val="000000"/>
                <w:kern w:val="0"/>
                <w:sz w:val="18"/>
                <w:szCs w:val="18"/>
              </w:rPr>
              <w:t>执行额(百元)</w:t>
            </w:r>
          </w:p>
        </w:tc>
        <w:tc>
          <w:tcPr>
            <w:tcW w:w="746" w:type="pct"/>
            <w:gridSpan w:val="2"/>
            <w:noWrap/>
            <w:vAlign w:val="center"/>
          </w:tcPr>
          <w:p>
            <w:pPr>
              <w:widowControl/>
              <w:jc w:val="center"/>
              <w:rPr>
                <w:color w:val="000000"/>
                <w:kern w:val="0"/>
                <w:sz w:val="18"/>
                <w:szCs w:val="18"/>
              </w:rPr>
            </w:pPr>
            <w:r>
              <w:rPr>
                <w:color w:val="000000"/>
                <w:kern w:val="0"/>
                <w:sz w:val="18"/>
                <w:szCs w:val="18"/>
              </w:rPr>
              <w:t>当年结转结余额(百元)</w:t>
            </w:r>
          </w:p>
        </w:tc>
        <w:tc>
          <w:tcPr>
            <w:tcW w:w="978" w:type="pct"/>
            <w:noWrap/>
            <w:vAlign w:val="center"/>
          </w:tcPr>
          <w:p>
            <w:pPr>
              <w:widowControl/>
              <w:jc w:val="center"/>
              <w:rPr>
                <w:color w:val="000000"/>
                <w:kern w:val="0"/>
                <w:sz w:val="18"/>
                <w:szCs w:val="18"/>
              </w:rPr>
            </w:pPr>
            <w:r>
              <w:rPr>
                <w:color w:val="000000"/>
                <w:kern w:val="0"/>
                <w:sz w:val="18"/>
                <w:szCs w:val="18"/>
              </w:rPr>
              <w:t>结转结余率%</w:t>
            </w:r>
          </w:p>
        </w:tc>
        <w:tc>
          <w:tcPr>
            <w:tcW w:w="1204" w:type="pct"/>
            <w:gridSpan w:val="2"/>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742"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jc w:val="center"/>
              <w:rPr>
                <w:color w:val="000000"/>
                <w:kern w:val="0"/>
                <w:sz w:val="18"/>
                <w:szCs w:val="18"/>
              </w:rPr>
            </w:pPr>
            <w:r>
              <w:rPr>
                <w:color w:val="000000"/>
                <w:kern w:val="0"/>
                <w:sz w:val="18"/>
                <w:szCs w:val="18"/>
              </w:rPr>
              <w:t>合计</w:t>
            </w:r>
          </w:p>
        </w:tc>
        <w:tc>
          <w:tcPr>
            <w:tcW w:w="437"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53508</w:t>
            </w:r>
          </w:p>
        </w:tc>
        <w:tc>
          <w:tcPr>
            <w:tcW w:w="53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75883.8427</w:t>
            </w:r>
          </w:p>
        </w:tc>
        <w:tc>
          <w:tcPr>
            <w:tcW w:w="746"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978"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120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2" w:type="pct"/>
          <w:trHeight w:val="710"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jc w:val="center"/>
              <w:rPr>
                <w:color w:val="000000"/>
                <w:kern w:val="0"/>
                <w:sz w:val="18"/>
                <w:szCs w:val="18"/>
              </w:rPr>
            </w:pPr>
            <w:r>
              <w:rPr>
                <w:color w:val="000000"/>
                <w:kern w:val="0"/>
                <w:sz w:val="18"/>
                <w:szCs w:val="18"/>
              </w:rPr>
              <w:t>基本支出</w:t>
            </w:r>
          </w:p>
        </w:tc>
        <w:tc>
          <w:tcPr>
            <w:tcW w:w="437"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51848</w:t>
            </w:r>
          </w:p>
        </w:tc>
        <w:tc>
          <w:tcPr>
            <w:tcW w:w="53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66515.3619</w:t>
            </w:r>
          </w:p>
        </w:tc>
        <w:tc>
          <w:tcPr>
            <w:tcW w:w="746"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978"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120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692"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jc w:val="center"/>
              <w:rPr>
                <w:color w:val="000000"/>
                <w:kern w:val="0"/>
                <w:sz w:val="18"/>
                <w:szCs w:val="18"/>
              </w:rPr>
            </w:pPr>
            <w:r>
              <w:rPr>
                <w:color w:val="000000"/>
                <w:kern w:val="0"/>
                <w:sz w:val="18"/>
                <w:szCs w:val="18"/>
              </w:rPr>
              <w:t>政策和项目支出</w:t>
            </w:r>
          </w:p>
        </w:tc>
        <w:tc>
          <w:tcPr>
            <w:tcW w:w="437"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1660</w:t>
            </w:r>
          </w:p>
        </w:tc>
        <w:tc>
          <w:tcPr>
            <w:tcW w:w="53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9368.4808</w:t>
            </w:r>
          </w:p>
        </w:tc>
        <w:tc>
          <w:tcPr>
            <w:tcW w:w="746"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978"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120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630" w:hRule="atLeast"/>
        </w:trPr>
        <w:tc>
          <w:tcPr>
            <w:tcW w:w="481" w:type="pct"/>
            <w:vMerge w:val="restart"/>
            <w:noWrap/>
            <w:vAlign w:val="center"/>
          </w:tcPr>
          <w:p>
            <w:pPr>
              <w:widowControl/>
              <w:jc w:val="center"/>
              <w:rPr>
                <w:color w:val="000000"/>
                <w:kern w:val="0"/>
                <w:sz w:val="18"/>
                <w:szCs w:val="18"/>
              </w:rPr>
            </w:pPr>
            <w:r>
              <w:rPr>
                <w:color w:val="000000"/>
                <w:kern w:val="0"/>
                <w:sz w:val="18"/>
                <w:szCs w:val="18"/>
              </w:rPr>
              <w:t>预算</w:t>
            </w:r>
          </w:p>
          <w:p>
            <w:pPr>
              <w:widowControl/>
              <w:jc w:val="center"/>
              <w:rPr>
                <w:color w:val="000000"/>
                <w:kern w:val="0"/>
                <w:sz w:val="18"/>
                <w:szCs w:val="18"/>
              </w:rPr>
            </w:pPr>
            <w:r>
              <w:rPr>
                <w:color w:val="000000"/>
                <w:kern w:val="0"/>
                <w:sz w:val="18"/>
                <w:szCs w:val="18"/>
              </w:rPr>
              <w:t>结构</w:t>
            </w:r>
          </w:p>
        </w:tc>
        <w:tc>
          <w:tcPr>
            <w:tcW w:w="571" w:type="pct"/>
            <w:noWrap/>
            <w:vAlign w:val="center"/>
          </w:tcPr>
          <w:p>
            <w:pPr>
              <w:widowControl/>
              <w:jc w:val="center"/>
              <w:rPr>
                <w:color w:val="000000"/>
                <w:kern w:val="0"/>
                <w:sz w:val="18"/>
                <w:szCs w:val="18"/>
              </w:rPr>
            </w:pPr>
            <w:r>
              <w:rPr>
                <w:color w:val="000000"/>
                <w:kern w:val="0"/>
                <w:sz w:val="18"/>
                <w:szCs w:val="18"/>
              </w:rPr>
              <w:t>项目</w:t>
            </w:r>
          </w:p>
        </w:tc>
        <w:tc>
          <w:tcPr>
            <w:tcW w:w="437" w:type="pct"/>
            <w:noWrap/>
            <w:vAlign w:val="center"/>
          </w:tcPr>
          <w:p>
            <w:pPr>
              <w:widowControl/>
              <w:jc w:val="center"/>
              <w:rPr>
                <w:color w:val="000000"/>
                <w:kern w:val="0"/>
                <w:sz w:val="18"/>
                <w:szCs w:val="18"/>
              </w:rPr>
            </w:pPr>
            <w:r>
              <w:rPr>
                <w:color w:val="000000"/>
                <w:kern w:val="0"/>
                <w:sz w:val="18"/>
                <w:szCs w:val="18"/>
              </w:rPr>
              <w:t>合计</w:t>
            </w:r>
          </w:p>
        </w:tc>
        <w:tc>
          <w:tcPr>
            <w:tcW w:w="532" w:type="pct"/>
            <w:noWrap/>
            <w:vAlign w:val="center"/>
          </w:tcPr>
          <w:p>
            <w:pPr>
              <w:widowControl/>
              <w:jc w:val="center"/>
              <w:rPr>
                <w:color w:val="000000"/>
                <w:kern w:val="0"/>
                <w:sz w:val="18"/>
                <w:szCs w:val="18"/>
              </w:rPr>
            </w:pPr>
            <w:r>
              <w:rPr>
                <w:color w:val="000000"/>
                <w:kern w:val="0"/>
                <w:sz w:val="18"/>
                <w:szCs w:val="18"/>
              </w:rPr>
              <w:t>一般公共预算安排</w:t>
            </w:r>
          </w:p>
        </w:tc>
        <w:tc>
          <w:tcPr>
            <w:tcW w:w="746" w:type="pct"/>
            <w:gridSpan w:val="2"/>
            <w:noWrap/>
            <w:vAlign w:val="center"/>
          </w:tcPr>
          <w:p>
            <w:pPr>
              <w:widowControl/>
              <w:jc w:val="center"/>
              <w:rPr>
                <w:color w:val="000000"/>
                <w:kern w:val="0"/>
                <w:sz w:val="18"/>
                <w:szCs w:val="18"/>
              </w:rPr>
            </w:pPr>
            <w:r>
              <w:rPr>
                <w:color w:val="000000"/>
                <w:kern w:val="0"/>
                <w:sz w:val="18"/>
                <w:szCs w:val="18"/>
              </w:rPr>
              <w:t>政府性基金预算安排</w:t>
            </w:r>
          </w:p>
        </w:tc>
        <w:tc>
          <w:tcPr>
            <w:tcW w:w="978" w:type="pct"/>
            <w:noWrap/>
            <w:vAlign w:val="center"/>
          </w:tcPr>
          <w:p>
            <w:pPr>
              <w:widowControl/>
              <w:jc w:val="center"/>
              <w:rPr>
                <w:color w:val="000000"/>
                <w:kern w:val="0"/>
                <w:sz w:val="18"/>
                <w:szCs w:val="18"/>
              </w:rPr>
            </w:pPr>
            <w:r>
              <w:rPr>
                <w:color w:val="000000"/>
                <w:kern w:val="0"/>
                <w:sz w:val="18"/>
                <w:szCs w:val="18"/>
              </w:rPr>
              <w:t>国有资本经营预算安排</w:t>
            </w:r>
          </w:p>
        </w:tc>
        <w:tc>
          <w:tcPr>
            <w:tcW w:w="1204" w:type="pct"/>
            <w:gridSpan w:val="2"/>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240"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spacing w:line="360" w:lineRule="exact"/>
              <w:jc w:val="center"/>
              <w:rPr>
                <w:color w:val="000000"/>
                <w:kern w:val="0"/>
                <w:sz w:val="18"/>
                <w:szCs w:val="18"/>
              </w:rPr>
            </w:pPr>
            <w:r>
              <w:rPr>
                <w:color w:val="000000"/>
                <w:kern w:val="0"/>
                <w:sz w:val="18"/>
                <w:szCs w:val="18"/>
              </w:rPr>
              <w:t>预算额(百元)</w:t>
            </w:r>
          </w:p>
        </w:tc>
        <w:tc>
          <w:tcPr>
            <w:tcW w:w="437"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53508</w:t>
            </w:r>
          </w:p>
        </w:tc>
        <w:tc>
          <w:tcPr>
            <w:tcW w:w="532"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53508</w:t>
            </w:r>
          </w:p>
        </w:tc>
        <w:tc>
          <w:tcPr>
            <w:tcW w:w="746"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c>
          <w:tcPr>
            <w:tcW w:w="978"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04"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2" w:type="pct"/>
          <w:trHeight w:val="240"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spacing w:line="360" w:lineRule="exact"/>
              <w:jc w:val="center"/>
              <w:rPr>
                <w:color w:val="000000"/>
                <w:kern w:val="0"/>
                <w:sz w:val="18"/>
                <w:szCs w:val="18"/>
              </w:rPr>
            </w:pPr>
            <w:r>
              <w:rPr>
                <w:color w:val="000000"/>
                <w:kern w:val="0"/>
                <w:sz w:val="18"/>
                <w:szCs w:val="18"/>
              </w:rPr>
              <w:t>执行额(百元)</w:t>
            </w:r>
          </w:p>
        </w:tc>
        <w:tc>
          <w:tcPr>
            <w:tcW w:w="437"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75883.8427</w:t>
            </w:r>
          </w:p>
        </w:tc>
        <w:tc>
          <w:tcPr>
            <w:tcW w:w="532"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75883.8427</w:t>
            </w:r>
          </w:p>
        </w:tc>
        <w:tc>
          <w:tcPr>
            <w:tcW w:w="746"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c>
          <w:tcPr>
            <w:tcW w:w="978"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04"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240"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spacing w:line="360" w:lineRule="exact"/>
              <w:jc w:val="center"/>
              <w:rPr>
                <w:color w:val="000000"/>
                <w:spacing w:val="-20"/>
                <w:kern w:val="0"/>
                <w:sz w:val="18"/>
                <w:szCs w:val="18"/>
              </w:rPr>
            </w:pPr>
            <w:r>
              <w:rPr>
                <w:color w:val="000000"/>
                <w:spacing w:val="-20"/>
                <w:kern w:val="0"/>
                <w:sz w:val="18"/>
                <w:szCs w:val="18"/>
              </w:rPr>
              <w:t>当年结转结余额(百元)</w:t>
            </w:r>
          </w:p>
        </w:tc>
        <w:tc>
          <w:tcPr>
            <w:tcW w:w="437"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532"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46"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c>
          <w:tcPr>
            <w:tcW w:w="978"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04"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240"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spacing w:line="360" w:lineRule="exact"/>
              <w:jc w:val="center"/>
              <w:rPr>
                <w:color w:val="000000"/>
                <w:kern w:val="0"/>
                <w:sz w:val="18"/>
                <w:szCs w:val="18"/>
              </w:rPr>
            </w:pPr>
            <w:r>
              <w:rPr>
                <w:color w:val="000000"/>
                <w:kern w:val="0"/>
                <w:sz w:val="18"/>
                <w:szCs w:val="18"/>
              </w:rPr>
              <w:t>结转结余率%</w:t>
            </w:r>
          </w:p>
        </w:tc>
        <w:tc>
          <w:tcPr>
            <w:tcW w:w="437"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532"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46"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c>
          <w:tcPr>
            <w:tcW w:w="978"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04"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240" w:hRule="atLeast"/>
        </w:trPr>
        <w:tc>
          <w:tcPr>
            <w:tcW w:w="481" w:type="pct"/>
            <w:vMerge w:val="continue"/>
            <w:vAlign w:val="center"/>
          </w:tcPr>
          <w:p>
            <w:pPr>
              <w:widowControl/>
              <w:jc w:val="left"/>
              <w:rPr>
                <w:color w:val="000000"/>
                <w:kern w:val="0"/>
                <w:sz w:val="18"/>
                <w:szCs w:val="18"/>
              </w:rPr>
            </w:pPr>
          </w:p>
        </w:tc>
        <w:tc>
          <w:tcPr>
            <w:tcW w:w="571" w:type="pct"/>
            <w:noWrap/>
            <w:vAlign w:val="center"/>
          </w:tcPr>
          <w:p>
            <w:pPr>
              <w:widowControl/>
              <w:spacing w:line="360" w:lineRule="exact"/>
              <w:jc w:val="center"/>
              <w:rPr>
                <w:color w:val="000000"/>
                <w:kern w:val="0"/>
                <w:sz w:val="18"/>
                <w:szCs w:val="18"/>
              </w:rPr>
            </w:pPr>
            <w:r>
              <w:rPr>
                <w:color w:val="000000"/>
                <w:kern w:val="0"/>
                <w:sz w:val="18"/>
                <w:szCs w:val="18"/>
              </w:rPr>
              <w:t>结转结余变动率%</w:t>
            </w:r>
          </w:p>
        </w:tc>
        <w:tc>
          <w:tcPr>
            <w:tcW w:w="437"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532" w:type="pct"/>
            <w:noWrap/>
            <w:vAlign w:val="center"/>
          </w:tcPr>
          <w:p>
            <w:pPr>
              <w:widowControl/>
              <w:spacing w:line="360" w:lineRule="exact"/>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46"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c>
          <w:tcPr>
            <w:tcW w:w="978"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04" w:type="pct"/>
            <w:gridSpan w:val="2"/>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2" w:type="pct"/>
          <w:trHeight w:val="750" w:hRule="atLeast"/>
        </w:trPr>
        <w:tc>
          <w:tcPr>
            <w:tcW w:w="481"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007" w:type="pct"/>
            <w:gridSpan w:val="2"/>
            <w:noWrap/>
            <w:vAlign w:val="center"/>
          </w:tcPr>
          <w:p>
            <w:pPr>
              <w:widowControl/>
              <w:jc w:val="center"/>
              <w:rPr>
                <w:color w:val="000000"/>
                <w:kern w:val="0"/>
                <w:sz w:val="18"/>
                <w:szCs w:val="18"/>
              </w:rPr>
            </w:pPr>
            <w:r>
              <w:rPr>
                <w:color w:val="000000"/>
                <w:kern w:val="0"/>
                <w:sz w:val="18"/>
                <w:szCs w:val="18"/>
              </w:rPr>
              <w:t>预算总体目标</w:t>
            </w:r>
          </w:p>
        </w:tc>
        <w:tc>
          <w:tcPr>
            <w:tcW w:w="1278" w:type="pct"/>
            <w:gridSpan w:val="3"/>
            <w:noWrap/>
            <w:vAlign w:val="center"/>
          </w:tcPr>
          <w:p>
            <w:pPr>
              <w:widowControl/>
              <w:jc w:val="center"/>
              <w:rPr>
                <w:color w:val="000000"/>
                <w:kern w:val="0"/>
                <w:sz w:val="18"/>
                <w:szCs w:val="18"/>
              </w:rPr>
            </w:pPr>
            <w:r>
              <w:rPr>
                <w:color w:val="000000"/>
                <w:kern w:val="0"/>
                <w:sz w:val="18"/>
                <w:szCs w:val="18"/>
              </w:rPr>
              <w:t>预算总体目标执行结果</w:t>
            </w:r>
          </w:p>
        </w:tc>
        <w:tc>
          <w:tcPr>
            <w:tcW w:w="2181" w:type="pct"/>
            <w:gridSpan w:val="3"/>
            <w:noWrap/>
            <w:vAlign w:val="center"/>
          </w:tcPr>
          <w:p>
            <w:pPr>
              <w:widowControl/>
              <w:jc w:val="center"/>
              <w:rPr>
                <w:color w:val="000000"/>
                <w:kern w:val="0"/>
                <w:sz w:val="18"/>
                <w:szCs w:val="18"/>
              </w:rPr>
            </w:pPr>
            <w:r>
              <w:rPr>
                <w:color w:val="000000"/>
                <w:kern w:val="0"/>
                <w:sz w:val="18"/>
                <w:szCs w:val="18"/>
              </w:rPr>
              <w:t>预算总体目标与预算总体目标</w:t>
            </w:r>
          </w:p>
          <w:p>
            <w:pPr>
              <w:widowControl/>
              <w:jc w:val="center"/>
              <w:rPr>
                <w:color w:val="000000"/>
                <w:kern w:val="0"/>
                <w:sz w:val="18"/>
                <w:szCs w:val="18"/>
              </w:rPr>
            </w:pPr>
            <w:r>
              <w:rPr>
                <w:color w:val="000000"/>
                <w:kern w:val="0"/>
                <w:sz w:val="18"/>
                <w:szCs w:val="18"/>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pct"/>
          <w:trHeight w:val="270" w:hRule="atLeast"/>
        </w:trPr>
        <w:tc>
          <w:tcPr>
            <w:tcW w:w="481" w:type="pct"/>
            <w:vMerge w:val="continue"/>
            <w:vAlign w:val="center"/>
          </w:tcPr>
          <w:p>
            <w:pPr>
              <w:widowControl/>
              <w:jc w:val="left"/>
              <w:rPr>
                <w:color w:val="000000"/>
                <w:kern w:val="0"/>
                <w:sz w:val="18"/>
                <w:szCs w:val="18"/>
              </w:rPr>
            </w:pPr>
          </w:p>
        </w:tc>
        <w:tc>
          <w:tcPr>
            <w:tcW w:w="1007" w:type="pct"/>
            <w:gridSpan w:val="2"/>
            <w:noWrap/>
            <w:vAlign w:val="center"/>
          </w:tcPr>
          <w:p>
            <w:pPr>
              <w:widowControl/>
              <w:spacing w:line="700" w:lineRule="exact"/>
              <w:jc w:val="left"/>
              <w:rPr>
                <w:rFonts w:hint="eastAsia"/>
                <w:color w:val="000000"/>
                <w:kern w:val="0"/>
                <w:sz w:val="18"/>
                <w:szCs w:val="18"/>
              </w:rPr>
            </w:pPr>
            <w:r>
              <w:rPr>
                <w:rFonts w:hint="eastAsia"/>
                <w:color w:val="000000"/>
                <w:kern w:val="0"/>
                <w:sz w:val="18"/>
                <w:szCs w:val="18"/>
              </w:rPr>
              <w:t>基本支出</w:t>
            </w:r>
          </w:p>
          <w:p>
            <w:pPr>
              <w:pStyle w:val="2"/>
            </w:pPr>
            <w:r>
              <w:rPr>
                <w:rFonts w:hint="eastAsia"/>
              </w:rPr>
              <w:t>51848</w:t>
            </w:r>
          </w:p>
        </w:tc>
        <w:tc>
          <w:tcPr>
            <w:tcW w:w="1278" w:type="pct"/>
            <w:gridSpan w:val="3"/>
            <w:noWrap/>
            <w:vAlign w:val="center"/>
          </w:tcPr>
          <w:p>
            <w:pPr>
              <w:widowControl/>
              <w:spacing w:line="700" w:lineRule="exact"/>
              <w:jc w:val="center"/>
              <w:rPr>
                <w:rFonts w:hint="eastAsia"/>
                <w:color w:val="000000"/>
                <w:kern w:val="0"/>
                <w:sz w:val="18"/>
                <w:szCs w:val="18"/>
              </w:rPr>
            </w:pPr>
            <w:r>
              <w:rPr>
                <w:rFonts w:hint="eastAsia"/>
                <w:color w:val="000000"/>
                <w:kern w:val="0"/>
                <w:sz w:val="18"/>
                <w:szCs w:val="18"/>
              </w:rPr>
              <w:t>实际支出</w:t>
            </w:r>
          </w:p>
          <w:p>
            <w:pPr>
              <w:widowControl/>
              <w:spacing w:line="700" w:lineRule="exact"/>
              <w:jc w:val="center"/>
              <w:rPr>
                <w:color w:val="000000"/>
                <w:kern w:val="0"/>
                <w:sz w:val="18"/>
                <w:szCs w:val="18"/>
              </w:rPr>
            </w:pPr>
            <w:r>
              <w:rPr>
                <w:rFonts w:hint="eastAsia"/>
                <w:color w:val="000000"/>
                <w:kern w:val="0"/>
                <w:sz w:val="18"/>
                <w:szCs w:val="18"/>
              </w:rPr>
              <w:t>66515.3619</w:t>
            </w:r>
            <w:r>
              <w:rPr>
                <w:color w:val="000000"/>
                <w:kern w:val="0"/>
                <w:sz w:val="18"/>
                <w:szCs w:val="18"/>
              </w:rPr>
              <w:t>　</w:t>
            </w:r>
          </w:p>
        </w:tc>
        <w:tc>
          <w:tcPr>
            <w:tcW w:w="2181" w:type="pct"/>
            <w:gridSpan w:val="3"/>
            <w:noWrap/>
            <w:vAlign w:val="center"/>
          </w:tcPr>
          <w:p>
            <w:pPr>
              <w:widowControl/>
              <w:spacing w:line="700" w:lineRule="exact"/>
              <w:jc w:val="center"/>
              <w:rPr>
                <w:color w:val="000000"/>
                <w:kern w:val="0"/>
                <w:sz w:val="18"/>
                <w:szCs w:val="18"/>
              </w:rPr>
            </w:pPr>
            <w:r>
              <w:rPr>
                <w:rFonts w:hint="eastAsia"/>
                <w:color w:val="000000"/>
                <w:kern w:val="0"/>
                <w:sz w:val="18"/>
                <w:szCs w:val="18"/>
              </w:rPr>
              <w:t>职工目标奖</w:t>
            </w: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1" w:type="pct"/>
            <w:vMerge w:val="continue"/>
            <w:vAlign w:val="center"/>
          </w:tcPr>
          <w:p>
            <w:pPr>
              <w:widowControl/>
              <w:jc w:val="left"/>
              <w:rPr>
                <w:color w:val="000000"/>
                <w:kern w:val="0"/>
                <w:sz w:val="18"/>
                <w:szCs w:val="18"/>
              </w:rPr>
            </w:pPr>
          </w:p>
        </w:tc>
        <w:tc>
          <w:tcPr>
            <w:tcW w:w="1008" w:type="pct"/>
            <w:gridSpan w:val="2"/>
            <w:shd w:val="clear" w:color="auto" w:fill="auto"/>
            <w:noWrap/>
            <w:vAlign w:val="center"/>
          </w:tcPr>
          <w:p>
            <w:pPr>
              <w:widowControl/>
              <w:spacing w:line="700" w:lineRule="exact"/>
              <w:jc w:val="left"/>
              <w:rPr>
                <w:color w:val="000000"/>
                <w:kern w:val="0"/>
                <w:sz w:val="18"/>
                <w:szCs w:val="18"/>
              </w:rPr>
            </w:pPr>
            <w:r>
              <w:rPr>
                <w:rFonts w:hint="eastAsia"/>
                <w:color w:val="000000"/>
                <w:kern w:val="0"/>
                <w:sz w:val="18"/>
                <w:szCs w:val="18"/>
              </w:rPr>
              <w:t>政策和项目支出1660百元</w:t>
            </w:r>
          </w:p>
        </w:tc>
        <w:tc>
          <w:tcPr>
            <w:tcW w:w="1278" w:type="pct"/>
            <w:gridSpan w:val="3"/>
            <w:shd w:val="clear" w:color="auto" w:fill="auto"/>
            <w:noWrap/>
            <w:vAlign w:val="center"/>
          </w:tcPr>
          <w:p>
            <w:pPr>
              <w:widowControl/>
              <w:spacing w:line="360" w:lineRule="exact"/>
              <w:jc w:val="center"/>
              <w:rPr>
                <w:color w:val="000000"/>
                <w:kern w:val="0"/>
                <w:sz w:val="18"/>
                <w:szCs w:val="18"/>
              </w:rPr>
            </w:pPr>
            <w:r>
              <w:rPr>
                <w:color w:val="000000"/>
                <w:kern w:val="0"/>
                <w:sz w:val="18"/>
                <w:szCs w:val="18"/>
              </w:rPr>
              <w:t>　</w:t>
            </w:r>
            <w:r>
              <w:rPr>
                <w:rFonts w:hint="eastAsia"/>
                <w:color w:val="000000"/>
                <w:kern w:val="0"/>
                <w:sz w:val="18"/>
                <w:szCs w:val="18"/>
              </w:rPr>
              <w:t>实际支出</w:t>
            </w:r>
          </w:p>
          <w:p>
            <w:pPr>
              <w:widowControl/>
              <w:spacing w:line="700" w:lineRule="exact"/>
              <w:jc w:val="center"/>
              <w:rPr>
                <w:color w:val="000000"/>
                <w:kern w:val="0"/>
                <w:sz w:val="18"/>
                <w:szCs w:val="18"/>
              </w:rPr>
            </w:pPr>
            <w:r>
              <w:rPr>
                <w:rFonts w:hint="eastAsia"/>
                <w:color w:val="000000"/>
                <w:kern w:val="0"/>
                <w:sz w:val="18"/>
                <w:szCs w:val="18"/>
              </w:rPr>
              <w:t>9368.4808百元</w:t>
            </w:r>
            <w:r>
              <w:rPr>
                <w:color w:val="000000"/>
                <w:kern w:val="0"/>
                <w:sz w:val="18"/>
                <w:szCs w:val="18"/>
              </w:rPr>
              <w:t>　</w:t>
            </w:r>
          </w:p>
        </w:tc>
        <w:tc>
          <w:tcPr>
            <w:tcW w:w="2232" w:type="pct"/>
            <w:gridSpan w:val="4"/>
            <w:shd w:val="clear" w:color="auto" w:fill="auto"/>
            <w:noWrap/>
            <w:vAlign w:val="center"/>
          </w:tcPr>
          <w:p>
            <w:pPr>
              <w:widowControl/>
              <w:spacing w:line="700" w:lineRule="exact"/>
              <w:jc w:val="center"/>
              <w:rPr>
                <w:color w:val="000000"/>
                <w:kern w:val="0"/>
                <w:sz w:val="18"/>
                <w:szCs w:val="18"/>
              </w:rPr>
            </w:pPr>
            <w:r>
              <w:rPr>
                <w:rFonts w:hint="eastAsia"/>
                <w:color w:val="000000"/>
                <w:kern w:val="0"/>
                <w:sz w:val="18"/>
                <w:szCs w:val="18"/>
              </w:rPr>
              <w:t>去年结转458.205百元及发展类项目增加</w:t>
            </w: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1" w:type="pct"/>
            <w:vMerge w:val="continue"/>
            <w:vAlign w:val="center"/>
          </w:tcPr>
          <w:p>
            <w:pPr>
              <w:widowControl/>
              <w:jc w:val="left"/>
              <w:rPr>
                <w:color w:val="000000"/>
                <w:kern w:val="0"/>
                <w:sz w:val="18"/>
                <w:szCs w:val="18"/>
              </w:rPr>
            </w:pPr>
          </w:p>
        </w:tc>
        <w:tc>
          <w:tcPr>
            <w:tcW w:w="1008" w:type="pct"/>
            <w:gridSpan w:val="2"/>
            <w:shd w:val="clear" w:color="auto" w:fill="auto"/>
            <w:noWrap/>
            <w:vAlign w:val="center"/>
          </w:tcPr>
          <w:p>
            <w:pPr>
              <w:widowControl/>
              <w:spacing w:line="700" w:lineRule="exact"/>
              <w:jc w:val="left"/>
              <w:rPr>
                <w:color w:val="000000"/>
                <w:kern w:val="0"/>
                <w:sz w:val="18"/>
                <w:szCs w:val="18"/>
              </w:rPr>
            </w:pPr>
            <w:r>
              <w:rPr>
                <w:color w:val="000000"/>
                <w:kern w:val="0"/>
                <w:sz w:val="18"/>
                <w:szCs w:val="18"/>
              </w:rPr>
              <w:t>目标3:……….</w:t>
            </w:r>
          </w:p>
        </w:tc>
        <w:tc>
          <w:tcPr>
            <w:tcW w:w="1278" w:type="pct"/>
            <w:gridSpan w:val="3"/>
            <w:shd w:val="clear" w:color="auto" w:fill="auto"/>
            <w:noWrap/>
            <w:vAlign w:val="center"/>
          </w:tcPr>
          <w:p>
            <w:pPr>
              <w:widowControl/>
              <w:spacing w:line="700" w:lineRule="exact"/>
              <w:jc w:val="center"/>
              <w:rPr>
                <w:color w:val="000000"/>
                <w:kern w:val="0"/>
                <w:sz w:val="18"/>
                <w:szCs w:val="18"/>
              </w:rPr>
            </w:pPr>
            <w:r>
              <w:rPr>
                <w:color w:val="000000"/>
                <w:kern w:val="0"/>
                <w:sz w:val="18"/>
                <w:szCs w:val="18"/>
              </w:rPr>
              <w:t>　</w:t>
            </w:r>
          </w:p>
        </w:tc>
        <w:tc>
          <w:tcPr>
            <w:tcW w:w="2232" w:type="pct"/>
            <w:gridSpan w:val="4"/>
            <w:shd w:val="clear" w:color="auto" w:fill="auto"/>
            <w:noWrap/>
            <w:vAlign w:val="center"/>
          </w:tcPr>
          <w:p>
            <w:pPr>
              <w:widowControl/>
              <w:spacing w:line="700" w:lineRule="exact"/>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81" w:type="pct"/>
            <w:vMerge w:val="continue"/>
            <w:vAlign w:val="center"/>
          </w:tcPr>
          <w:p>
            <w:pPr>
              <w:widowControl/>
              <w:jc w:val="left"/>
              <w:rPr>
                <w:color w:val="000000"/>
                <w:kern w:val="0"/>
                <w:sz w:val="18"/>
                <w:szCs w:val="18"/>
              </w:rPr>
            </w:pPr>
          </w:p>
        </w:tc>
        <w:tc>
          <w:tcPr>
            <w:tcW w:w="1008" w:type="pct"/>
            <w:gridSpan w:val="2"/>
            <w:shd w:val="clear" w:color="auto" w:fill="auto"/>
            <w:noWrap/>
            <w:vAlign w:val="center"/>
          </w:tcPr>
          <w:p>
            <w:pPr>
              <w:widowControl/>
              <w:spacing w:line="700" w:lineRule="exact"/>
              <w:jc w:val="left"/>
              <w:rPr>
                <w:color w:val="000000"/>
                <w:kern w:val="0"/>
                <w:sz w:val="18"/>
                <w:szCs w:val="18"/>
              </w:rPr>
            </w:pPr>
            <w:r>
              <w:rPr>
                <w:color w:val="000000"/>
                <w:kern w:val="0"/>
                <w:sz w:val="18"/>
                <w:szCs w:val="18"/>
              </w:rPr>
              <w:t>　</w:t>
            </w:r>
          </w:p>
        </w:tc>
        <w:tc>
          <w:tcPr>
            <w:tcW w:w="1278" w:type="pct"/>
            <w:gridSpan w:val="3"/>
            <w:shd w:val="clear" w:color="auto" w:fill="auto"/>
            <w:noWrap/>
            <w:vAlign w:val="center"/>
          </w:tcPr>
          <w:p>
            <w:pPr>
              <w:widowControl/>
              <w:spacing w:line="700" w:lineRule="exact"/>
              <w:jc w:val="center"/>
              <w:rPr>
                <w:color w:val="000000"/>
                <w:kern w:val="0"/>
                <w:sz w:val="18"/>
                <w:szCs w:val="18"/>
              </w:rPr>
            </w:pPr>
            <w:r>
              <w:rPr>
                <w:color w:val="000000"/>
                <w:kern w:val="0"/>
                <w:sz w:val="18"/>
                <w:szCs w:val="18"/>
              </w:rPr>
              <w:t>　</w:t>
            </w:r>
          </w:p>
        </w:tc>
        <w:tc>
          <w:tcPr>
            <w:tcW w:w="2232" w:type="pct"/>
            <w:gridSpan w:val="4"/>
            <w:shd w:val="clear" w:color="auto" w:fill="auto"/>
            <w:noWrap/>
            <w:vAlign w:val="center"/>
          </w:tcPr>
          <w:p>
            <w:pPr>
              <w:widowControl/>
              <w:spacing w:line="700" w:lineRule="exact"/>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1" w:type="pct"/>
            <w:vMerge w:val="continue"/>
            <w:vAlign w:val="center"/>
          </w:tcPr>
          <w:p>
            <w:pPr>
              <w:widowControl/>
              <w:jc w:val="left"/>
              <w:rPr>
                <w:color w:val="000000"/>
                <w:kern w:val="0"/>
                <w:sz w:val="18"/>
                <w:szCs w:val="18"/>
              </w:rPr>
            </w:pPr>
          </w:p>
        </w:tc>
        <w:tc>
          <w:tcPr>
            <w:tcW w:w="1008" w:type="pct"/>
            <w:gridSpan w:val="2"/>
            <w:shd w:val="clear" w:color="auto" w:fill="auto"/>
            <w:noWrap/>
            <w:vAlign w:val="center"/>
          </w:tcPr>
          <w:p>
            <w:pPr>
              <w:widowControl/>
              <w:spacing w:line="700" w:lineRule="exact"/>
              <w:jc w:val="left"/>
              <w:rPr>
                <w:color w:val="000000"/>
                <w:kern w:val="0"/>
                <w:sz w:val="18"/>
                <w:szCs w:val="18"/>
              </w:rPr>
            </w:pPr>
          </w:p>
        </w:tc>
        <w:tc>
          <w:tcPr>
            <w:tcW w:w="1278" w:type="pct"/>
            <w:gridSpan w:val="3"/>
            <w:shd w:val="clear" w:color="auto" w:fill="auto"/>
            <w:noWrap/>
            <w:vAlign w:val="center"/>
          </w:tcPr>
          <w:p>
            <w:pPr>
              <w:widowControl/>
              <w:spacing w:line="700" w:lineRule="exact"/>
              <w:rPr>
                <w:color w:val="000000"/>
                <w:kern w:val="0"/>
                <w:sz w:val="18"/>
                <w:szCs w:val="18"/>
              </w:rPr>
            </w:pPr>
          </w:p>
        </w:tc>
        <w:tc>
          <w:tcPr>
            <w:tcW w:w="2232" w:type="pct"/>
            <w:gridSpan w:val="4"/>
            <w:shd w:val="clear" w:color="auto" w:fill="auto"/>
            <w:noWrap/>
            <w:vAlign w:val="center"/>
          </w:tcPr>
          <w:p>
            <w:pPr>
              <w:widowControl/>
              <w:spacing w:line="700" w:lineRule="exac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81" w:type="pct"/>
            <w:vMerge w:val="restart"/>
            <w:shd w:val="clear" w:color="auto" w:fill="auto"/>
            <w:noWrap/>
            <w:vAlign w:val="center"/>
          </w:tcPr>
          <w:p>
            <w:pPr>
              <w:widowControl/>
              <w:jc w:val="center"/>
              <w:rPr>
                <w:color w:val="000000"/>
                <w:kern w:val="0"/>
                <w:sz w:val="18"/>
                <w:szCs w:val="18"/>
              </w:rPr>
            </w:pPr>
            <w:r>
              <w:rPr>
                <w:color w:val="000000"/>
                <w:kern w:val="0"/>
                <w:sz w:val="18"/>
                <w:szCs w:val="18"/>
              </w:rPr>
              <w:t>年度绩效指标</w:t>
            </w:r>
          </w:p>
        </w:tc>
        <w:tc>
          <w:tcPr>
            <w:tcW w:w="571" w:type="pct"/>
            <w:shd w:val="clear" w:color="auto" w:fill="auto"/>
            <w:noWrap/>
            <w:vAlign w:val="center"/>
          </w:tcPr>
          <w:p>
            <w:pPr>
              <w:widowControl/>
              <w:jc w:val="center"/>
              <w:rPr>
                <w:color w:val="000000"/>
                <w:kern w:val="0"/>
                <w:sz w:val="18"/>
                <w:szCs w:val="18"/>
              </w:rPr>
            </w:pPr>
            <w:r>
              <w:rPr>
                <w:color w:val="000000"/>
                <w:kern w:val="0"/>
                <w:sz w:val="18"/>
                <w:szCs w:val="18"/>
              </w:rPr>
              <w:t>一级指标</w:t>
            </w:r>
          </w:p>
        </w:tc>
        <w:tc>
          <w:tcPr>
            <w:tcW w:w="437" w:type="pct"/>
            <w:shd w:val="clear" w:color="auto" w:fill="auto"/>
            <w:noWrap/>
            <w:vAlign w:val="center"/>
          </w:tcPr>
          <w:p>
            <w:pPr>
              <w:widowControl/>
              <w:jc w:val="center"/>
              <w:rPr>
                <w:color w:val="000000"/>
                <w:kern w:val="0"/>
                <w:sz w:val="18"/>
                <w:szCs w:val="18"/>
              </w:rPr>
            </w:pPr>
            <w:r>
              <w:rPr>
                <w:color w:val="000000"/>
                <w:kern w:val="0"/>
                <w:sz w:val="18"/>
                <w:szCs w:val="18"/>
              </w:rPr>
              <w:t>二级指标</w:t>
            </w:r>
          </w:p>
        </w:tc>
        <w:tc>
          <w:tcPr>
            <w:tcW w:w="632" w:type="pct"/>
            <w:gridSpan w:val="2"/>
            <w:tcBorders>
              <w:bottom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三级指标</w:t>
            </w:r>
          </w:p>
        </w:tc>
        <w:tc>
          <w:tcPr>
            <w:tcW w:w="647" w:type="pct"/>
            <w:shd w:val="clear" w:color="auto" w:fill="auto"/>
            <w:noWrap/>
            <w:vAlign w:val="center"/>
          </w:tcPr>
          <w:p>
            <w:pPr>
              <w:widowControl/>
              <w:jc w:val="center"/>
              <w:rPr>
                <w:color w:val="000000"/>
                <w:kern w:val="0"/>
                <w:sz w:val="18"/>
                <w:szCs w:val="18"/>
              </w:rPr>
            </w:pPr>
            <w:r>
              <w:rPr>
                <w:color w:val="000000"/>
                <w:kern w:val="0"/>
                <w:sz w:val="18"/>
                <w:szCs w:val="18"/>
              </w:rPr>
              <w:t>预算指标值(包含数字及文字描述)</w:t>
            </w:r>
          </w:p>
        </w:tc>
        <w:tc>
          <w:tcPr>
            <w:tcW w:w="999" w:type="pct"/>
            <w:gridSpan w:val="2"/>
            <w:shd w:val="clear" w:color="auto" w:fill="auto"/>
            <w:noWrap/>
            <w:vAlign w:val="center"/>
          </w:tcPr>
          <w:p>
            <w:pPr>
              <w:widowControl/>
              <w:jc w:val="center"/>
              <w:rPr>
                <w:color w:val="000000"/>
                <w:kern w:val="0"/>
                <w:sz w:val="18"/>
                <w:szCs w:val="18"/>
              </w:rPr>
            </w:pPr>
            <w:r>
              <w:rPr>
                <w:color w:val="000000"/>
                <w:kern w:val="0"/>
                <w:sz w:val="18"/>
                <w:szCs w:val="18"/>
              </w:rPr>
              <w:t>预算指标值执行结果(包含数字及文字描述)</w:t>
            </w:r>
          </w:p>
        </w:tc>
        <w:tc>
          <w:tcPr>
            <w:tcW w:w="1233" w:type="pct"/>
            <w:gridSpan w:val="2"/>
            <w:shd w:val="clear" w:color="auto" w:fill="auto"/>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481" w:type="pct"/>
            <w:vMerge w:val="continue"/>
            <w:vAlign w:val="center"/>
          </w:tcPr>
          <w:p>
            <w:pPr>
              <w:widowControl/>
              <w:jc w:val="left"/>
              <w:rPr>
                <w:color w:val="000000"/>
                <w:kern w:val="0"/>
                <w:sz w:val="18"/>
                <w:szCs w:val="18"/>
              </w:rPr>
            </w:pPr>
          </w:p>
        </w:tc>
        <w:tc>
          <w:tcPr>
            <w:tcW w:w="571" w:type="pct"/>
            <w:vMerge w:val="restart"/>
            <w:shd w:val="clear" w:color="auto" w:fill="auto"/>
            <w:noWrap/>
            <w:vAlign w:val="center"/>
          </w:tcPr>
          <w:p>
            <w:pPr>
              <w:widowControl/>
              <w:jc w:val="center"/>
              <w:rPr>
                <w:color w:val="000000"/>
                <w:kern w:val="0"/>
                <w:sz w:val="18"/>
                <w:szCs w:val="18"/>
              </w:rPr>
            </w:pPr>
            <w:r>
              <w:rPr>
                <w:color w:val="000000"/>
                <w:kern w:val="0"/>
                <w:sz w:val="18"/>
                <w:szCs w:val="18"/>
              </w:rPr>
              <w:t>完成</w:t>
            </w:r>
          </w:p>
          <w:p>
            <w:pPr>
              <w:widowControl/>
              <w:jc w:val="center"/>
              <w:rPr>
                <w:color w:val="000000"/>
                <w:kern w:val="0"/>
                <w:sz w:val="18"/>
                <w:szCs w:val="18"/>
              </w:rPr>
            </w:pPr>
            <w:r>
              <w:rPr>
                <w:color w:val="000000"/>
                <w:kern w:val="0"/>
                <w:sz w:val="18"/>
                <w:szCs w:val="18"/>
              </w:rPr>
              <w:t>指标</w:t>
            </w:r>
          </w:p>
        </w:tc>
        <w:tc>
          <w:tcPr>
            <w:tcW w:w="437" w:type="pct"/>
            <w:tcBorders>
              <w:right w:val="single" w:color="auto" w:sz="4" w:space="0"/>
            </w:tcBorders>
            <w:shd w:val="clear" w:color="auto" w:fill="auto"/>
            <w:noWrap/>
            <w:vAlign w:val="center"/>
          </w:tcPr>
          <w:p>
            <w:pPr>
              <w:widowControl/>
              <w:spacing w:line="380" w:lineRule="exact"/>
              <w:jc w:val="center"/>
              <w:rPr>
                <w:color w:val="000000"/>
                <w:kern w:val="0"/>
                <w:sz w:val="18"/>
                <w:szCs w:val="18"/>
              </w:rPr>
            </w:pPr>
            <w:r>
              <w:rPr>
                <w:color w:val="000000"/>
                <w:kern w:val="0"/>
                <w:sz w:val="18"/>
                <w:szCs w:val="18"/>
              </w:rPr>
              <w:t>数量</w:t>
            </w:r>
          </w:p>
          <w:p>
            <w:pPr>
              <w:widowControl/>
              <w:spacing w:line="380" w:lineRule="exact"/>
              <w:jc w:val="center"/>
              <w:rPr>
                <w:color w:val="000000"/>
                <w:kern w:val="0"/>
                <w:sz w:val="18"/>
                <w:szCs w:val="18"/>
              </w:rPr>
            </w:pPr>
            <w:r>
              <w:rPr>
                <w:color w:val="000000"/>
                <w:kern w:val="0"/>
                <w:sz w:val="18"/>
                <w:szCs w:val="18"/>
              </w:rPr>
              <w:t>指标</w:t>
            </w:r>
          </w:p>
        </w:tc>
        <w:tc>
          <w:tcPr>
            <w:tcW w:w="632" w:type="pct"/>
            <w:gridSpan w:val="2"/>
            <w:tcBorders>
              <w:top w:val="single" w:color="auto" w:sz="4" w:space="0"/>
              <w:left w:val="single" w:color="auto" w:sz="4" w:space="0"/>
              <w:right w:val="single" w:color="auto" w:sz="4" w:space="0"/>
            </w:tcBorders>
            <w:shd w:val="clear" w:color="auto" w:fill="auto"/>
            <w:noWrap/>
            <w:vAlign w:val="center"/>
          </w:tcPr>
          <w:p>
            <w:pPr>
              <w:spacing w:line="380" w:lineRule="exact"/>
              <w:rPr>
                <w:color w:val="000000"/>
                <w:kern w:val="0"/>
                <w:sz w:val="18"/>
                <w:szCs w:val="18"/>
              </w:rPr>
            </w:pPr>
            <w:r>
              <w:rPr>
                <w:rFonts w:hint="eastAsia"/>
                <w:color w:val="000000"/>
                <w:kern w:val="0"/>
                <w:sz w:val="18"/>
                <w:szCs w:val="18"/>
              </w:rPr>
              <w:t>普通省道路面技术状况数据检测</w:t>
            </w:r>
          </w:p>
        </w:tc>
        <w:tc>
          <w:tcPr>
            <w:tcW w:w="647" w:type="pct"/>
            <w:tcBorders>
              <w:left w:val="single" w:color="auto" w:sz="4" w:space="0"/>
            </w:tcBorders>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桥梁检查设备和咨询评估费10.5万元</w:t>
            </w: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按照工程进度及业务科室建议执行预算</w:t>
            </w: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0"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质量</w:t>
            </w:r>
          </w:p>
          <w:p>
            <w:pPr>
              <w:widowControl/>
              <w:spacing w:line="380" w:lineRule="exact"/>
              <w:jc w:val="center"/>
              <w:rPr>
                <w:color w:val="000000"/>
                <w:kern w:val="0"/>
                <w:sz w:val="18"/>
                <w:szCs w:val="18"/>
              </w:rPr>
            </w:pPr>
            <w:r>
              <w:rPr>
                <w:color w:val="000000"/>
                <w:kern w:val="0"/>
                <w:sz w:val="18"/>
                <w:szCs w:val="18"/>
              </w:rPr>
              <w:t>指标</w:t>
            </w:r>
          </w:p>
        </w:tc>
        <w:tc>
          <w:tcPr>
            <w:tcW w:w="632" w:type="pct"/>
            <w:gridSpan w:val="2"/>
            <w:tcBorders>
              <w:top w:val="single" w:color="auto" w:sz="4" w:space="0"/>
            </w:tcBorders>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农村公路数据库建设质量</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要求质量合格</w:t>
            </w: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合格</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时效</w:t>
            </w:r>
          </w:p>
          <w:p>
            <w:pPr>
              <w:widowControl/>
              <w:spacing w:line="380" w:lineRule="exact"/>
              <w:jc w:val="center"/>
              <w:rPr>
                <w:color w:val="000000"/>
                <w:kern w:val="0"/>
                <w:sz w:val="18"/>
                <w:szCs w:val="18"/>
              </w:rPr>
            </w:pPr>
            <w:r>
              <w:rPr>
                <w:color w:val="000000"/>
                <w:kern w:val="0"/>
                <w:sz w:val="18"/>
                <w:szCs w:val="18"/>
              </w:rPr>
              <w:t>指标</w:t>
            </w:r>
          </w:p>
        </w:tc>
        <w:tc>
          <w:tcPr>
            <w:tcW w:w="632" w:type="pct"/>
            <w:gridSpan w:val="2"/>
            <w:shd w:val="clear" w:color="auto" w:fill="auto"/>
            <w:noWrap/>
            <w:vAlign w:val="center"/>
          </w:tcPr>
          <w:p>
            <w:pPr>
              <w:spacing w:line="380" w:lineRule="exact"/>
              <w:jc w:val="left"/>
              <w:rPr>
                <w:color w:val="000000"/>
                <w:kern w:val="0"/>
                <w:sz w:val="18"/>
                <w:szCs w:val="18"/>
              </w:rPr>
            </w:pPr>
            <w:r>
              <w:rPr>
                <w:rFonts w:hint="eastAsia"/>
                <w:color w:val="000000"/>
                <w:kern w:val="0"/>
                <w:sz w:val="18"/>
                <w:szCs w:val="18"/>
              </w:rPr>
              <w:t>一个年度或一个工作周期</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要求年度内完成</w:t>
            </w: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全部完工</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p>
            <w:pPr>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成本</w:t>
            </w:r>
          </w:p>
          <w:p>
            <w:pPr>
              <w:widowControl/>
              <w:spacing w:line="380" w:lineRule="exact"/>
              <w:jc w:val="center"/>
              <w:rPr>
                <w:color w:val="000000"/>
                <w:kern w:val="0"/>
                <w:sz w:val="18"/>
                <w:szCs w:val="18"/>
              </w:rPr>
            </w:pPr>
            <w:r>
              <w:rPr>
                <w:color w:val="000000"/>
                <w:kern w:val="0"/>
                <w:sz w:val="18"/>
                <w:szCs w:val="18"/>
              </w:rPr>
              <w:t>指标</w:t>
            </w:r>
          </w:p>
        </w:tc>
        <w:tc>
          <w:tcPr>
            <w:tcW w:w="632" w:type="pct"/>
            <w:gridSpan w:val="2"/>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计划投入</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按预算执行</w:t>
            </w:r>
          </w:p>
          <w:p>
            <w:pPr>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按预算执行</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p>
            <w:pPr>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w:t>
            </w:r>
          </w:p>
        </w:tc>
        <w:tc>
          <w:tcPr>
            <w:tcW w:w="632"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0" w:hRule="atLeast"/>
        </w:trPr>
        <w:tc>
          <w:tcPr>
            <w:tcW w:w="481" w:type="pct"/>
            <w:vMerge w:val="continue"/>
            <w:vAlign w:val="center"/>
          </w:tcPr>
          <w:p>
            <w:pPr>
              <w:widowControl/>
              <w:jc w:val="left"/>
              <w:rPr>
                <w:color w:val="000000"/>
                <w:kern w:val="0"/>
                <w:sz w:val="18"/>
                <w:szCs w:val="18"/>
              </w:rPr>
            </w:pPr>
          </w:p>
        </w:tc>
        <w:tc>
          <w:tcPr>
            <w:tcW w:w="571" w:type="pct"/>
            <w:vMerge w:val="restart"/>
            <w:shd w:val="clear" w:color="auto" w:fill="auto"/>
            <w:noWrap/>
            <w:vAlign w:val="center"/>
          </w:tcPr>
          <w:p>
            <w:pPr>
              <w:widowControl/>
              <w:jc w:val="center"/>
              <w:rPr>
                <w:color w:val="000000"/>
                <w:kern w:val="0"/>
                <w:sz w:val="18"/>
                <w:szCs w:val="18"/>
              </w:rPr>
            </w:pPr>
            <w:r>
              <w:rPr>
                <w:color w:val="000000"/>
                <w:kern w:val="0"/>
                <w:sz w:val="18"/>
                <w:szCs w:val="18"/>
              </w:rPr>
              <w:t>效益</w:t>
            </w:r>
          </w:p>
          <w:p>
            <w:pPr>
              <w:widowControl/>
              <w:jc w:val="center"/>
              <w:rPr>
                <w:color w:val="000000"/>
                <w:kern w:val="0"/>
                <w:sz w:val="18"/>
                <w:szCs w:val="18"/>
              </w:rPr>
            </w:pPr>
            <w:r>
              <w:rPr>
                <w:color w:val="000000"/>
                <w:kern w:val="0"/>
                <w:sz w:val="18"/>
                <w:szCs w:val="18"/>
              </w:rPr>
              <w:t>指标</w:t>
            </w: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经济效益指标</w:t>
            </w:r>
          </w:p>
        </w:tc>
        <w:tc>
          <w:tcPr>
            <w:tcW w:w="632" w:type="pct"/>
            <w:gridSpan w:val="2"/>
            <w:shd w:val="clear" w:color="auto" w:fill="auto"/>
            <w:noWrap/>
            <w:vAlign w:val="center"/>
          </w:tcPr>
          <w:p>
            <w:pPr>
              <w:spacing w:line="380" w:lineRule="exact"/>
              <w:jc w:val="left"/>
              <w:rPr>
                <w:color w:val="000000"/>
                <w:kern w:val="0"/>
                <w:sz w:val="18"/>
                <w:szCs w:val="18"/>
              </w:rPr>
            </w:pPr>
            <w:r>
              <w:rPr>
                <w:rFonts w:hint="eastAsia"/>
                <w:color w:val="000000"/>
                <w:kern w:val="0"/>
                <w:sz w:val="18"/>
                <w:szCs w:val="18"/>
              </w:rPr>
              <w:t>提供就业岗位增加群众收入</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促</w:t>
            </w:r>
            <w:r>
              <w:rPr>
                <w:color w:val="000000"/>
                <w:kern w:val="0"/>
                <w:sz w:val="18"/>
                <w:szCs w:val="18"/>
              </w:rPr>
              <w:t>进沿线产业发展</w:t>
            </w:r>
            <w:r>
              <w:rPr>
                <w:rFonts w:hint="eastAsia"/>
                <w:color w:val="000000"/>
                <w:kern w:val="0"/>
                <w:sz w:val="18"/>
                <w:szCs w:val="18"/>
              </w:rPr>
              <w:t>，</w:t>
            </w:r>
            <w:r>
              <w:rPr>
                <w:color w:val="000000"/>
                <w:kern w:val="0"/>
                <w:sz w:val="18"/>
                <w:szCs w:val="18"/>
              </w:rPr>
              <w:t>降低运输成本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促</w:t>
            </w:r>
            <w:r>
              <w:rPr>
                <w:color w:val="000000"/>
                <w:kern w:val="0"/>
                <w:sz w:val="18"/>
                <w:szCs w:val="18"/>
              </w:rPr>
              <w:t>进沿线产业发展</w:t>
            </w:r>
            <w:r>
              <w:rPr>
                <w:rFonts w:hint="eastAsia"/>
                <w:color w:val="000000"/>
                <w:kern w:val="0"/>
                <w:sz w:val="18"/>
                <w:szCs w:val="18"/>
              </w:rPr>
              <w:t>，</w:t>
            </w:r>
            <w:r>
              <w:rPr>
                <w:color w:val="000000"/>
                <w:kern w:val="0"/>
                <w:sz w:val="18"/>
                <w:szCs w:val="18"/>
              </w:rPr>
              <w:t>降低运输成本</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p>
            <w:pPr>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社会效益指标</w:t>
            </w:r>
          </w:p>
        </w:tc>
        <w:tc>
          <w:tcPr>
            <w:tcW w:w="632" w:type="pct"/>
            <w:gridSpan w:val="2"/>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交通基础设施网网络</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基本建设便捷，顺畅的普通国省干线公路网</w:t>
            </w:r>
          </w:p>
          <w:p>
            <w:pPr>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基本建设便捷，顺畅的普通国省干线公路网</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生态效益指标</w:t>
            </w:r>
          </w:p>
        </w:tc>
        <w:tc>
          <w:tcPr>
            <w:tcW w:w="632" w:type="pct"/>
            <w:gridSpan w:val="2"/>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绿色交通</w:t>
            </w:r>
          </w:p>
          <w:p>
            <w:pPr>
              <w:spacing w:line="380" w:lineRule="exact"/>
              <w:jc w:val="left"/>
              <w:rPr>
                <w:color w:val="000000"/>
                <w:kern w:val="0"/>
                <w:sz w:val="18"/>
                <w:szCs w:val="18"/>
              </w:rPr>
            </w:pP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加快城乡统筹发展，逐步实现城乡交通运输服务均等化</w:t>
            </w:r>
          </w:p>
          <w:p>
            <w:pPr>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加快城乡统筹发展，逐步实现城乡交通运输服务均等化</w:t>
            </w:r>
          </w:p>
          <w:p>
            <w:pPr>
              <w:spacing w:line="380" w:lineRule="exact"/>
              <w:jc w:val="left"/>
              <w:rPr>
                <w:color w:val="000000"/>
                <w:kern w:val="0"/>
                <w:sz w:val="18"/>
                <w:szCs w:val="18"/>
              </w:rPr>
            </w:pP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p>
            <w:pPr>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可持续影响指标</w:t>
            </w:r>
          </w:p>
        </w:tc>
        <w:tc>
          <w:tcPr>
            <w:tcW w:w="632" w:type="pct"/>
            <w:gridSpan w:val="2"/>
            <w:shd w:val="clear" w:color="auto" w:fill="auto"/>
            <w:noWrap/>
            <w:vAlign w:val="center"/>
          </w:tcPr>
          <w:p>
            <w:pPr>
              <w:widowControl/>
              <w:spacing w:line="380" w:lineRule="exact"/>
              <w:jc w:val="left"/>
              <w:rPr>
                <w:color w:val="000000"/>
                <w:kern w:val="0"/>
                <w:sz w:val="18"/>
                <w:szCs w:val="18"/>
              </w:rPr>
            </w:pPr>
          </w:p>
          <w:p>
            <w:pPr>
              <w:spacing w:line="380" w:lineRule="exact"/>
              <w:jc w:val="left"/>
              <w:rPr>
                <w:color w:val="000000"/>
                <w:kern w:val="0"/>
                <w:sz w:val="18"/>
                <w:szCs w:val="18"/>
              </w:rPr>
            </w:pPr>
            <w:r>
              <w:rPr>
                <w:rFonts w:hint="eastAsia"/>
                <w:color w:val="000000"/>
                <w:kern w:val="0"/>
                <w:sz w:val="18"/>
                <w:szCs w:val="18"/>
              </w:rPr>
              <w:t>制度建设</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形成一套技术先进，科学智能的数字化路网管理系统</w:t>
            </w:r>
          </w:p>
          <w:p>
            <w:pPr>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形成一套技术先进，科学智能的数字化路网管理系统</w:t>
            </w:r>
          </w:p>
          <w:p>
            <w:pPr>
              <w:spacing w:line="380" w:lineRule="exact"/>
              <w:jc w:val="left"/>
              <w:rPr>
                <w:color w:val="000000"/>
                <w:kern w:val="0"/>
                <w:sz w:val="18"/>
                <w:szCs w:val="18"/>
              </w:rPr>
            </w:pP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p>
            <w:pPr>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81" w:type="pct"/>
            <w:vMerge w:val="continue"/>
            <w:vAlign w:val="center"/>
          </w:tcPr>
          <w:p>
            <w:pPr>
              <w:widowControl/>
              <w:jc w:val="left"/>
              <w:rPr>
                <w:color w:val="000000"/>
                <w:kern w:val="0"/>
                <w:sz w:val="18"/>
                <w:szCs w:val="18"/>
              </w:rPr>
            </w:pPr>
          </w:p>
        </w:tc>
        <w:tc>
          <w:tcPr>
            <w:tcW w:w="571" w:type="pct"/>
            <w:vMerge w:val="continue"/>
            <w:vAlign w:val="center"/>
          </w:tcPr>
          <w:p>
            <w:pPr>
              <w:widowControl/>
              <w:jc w:val="left"/>
              <w:rPr>
                <w:color w:val="000000"/>
                <w:kern w:val="0"/>
                <w:sz w:val="18"/>
                <w:szCs w:val="18"/>
              </w:rPr>
            </w:pPr>
          </w:p>
        </w:tc>
        <w:tc>
          <w:tcPr>
            <w:tcW w:w="43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w:t>
            </w:r>
          </w:p>
        </w:tc>
        <w:tc>
          <w:tcPr>
            <w:tcW w:w="632"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81" w:type="pct"/>
            <w:vMerge w:val="continue"/>
            <w:vAlign w:val="center"/>
          </w:tcPr>
          <w:p>
            <w:pPr>
              <w:widowControl/>
              <w:jc w:val="left"/>
              <w:rPr>
                <w:color w:val="000000"/>
                <w:kern w:val="0"/>
                <w:sz w:val="18"/>
                <w:szCs w:val="18"/>
              </w:rPr>
            </w:pPr>
          </w:p>
        </w:tc>
        <w:tc>
          <w:tcPr>
            <w:tcW w:w="571" w:type="pct"/>
            <w:shd w:val="clear" w:color="auto" w:fill="auto"/>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437" w:type="pct"/>
            <w:shd w:val="clear" w:color="auto" w:fill="auto"/>
            <w:noWrap/>
            <w:vAlign w:val="center"/>
          </w:tcPr>
          <w:p>
            <w:pPr>
              <w:widowControl/>
              <w:spacing w:line="380" w:lineRule="exact"/>
              <w:jc w:val="center"/>
              <w:rPr>
                <w:color w:val="000000"/>
                <w:kern w:val="0"/>
                <w:sz w:val="18"/>
                <w:szCs w:val="18"/>
              </w:rPr>
            </w:pPr>
            <w:r>
              <w:rPr>
                <w:color w:val="000000"/>
                <w:kern w:val="0"/>
                <w:sz w:val="18"/>
                <w:szCs w:val="18"/>
              </w:rPr>
              <w:t>满意度指标</w:t>
            </w:r>
          </w:p>
        </w:tc>
        <w:tc>
          <w:tcPr>
            <w:tcW w:w="632" w:type="pct"/>
            <w:gridSpan w:val="2"/>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群众满意</w:t>
            </w:r>
          </w:p>
        </w:tc>
        <w:tc>
          <w:tcPr>
            <w:tcW w:w="647"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形成一套技术先进，科学智能的数字化路网管理系统</w:t>
            </w:r>
          </w:p>
          <w:p>
            <w:pPr>
              <w:spacing w:line="380" w:lineRule="exact"/>
              <w:jc w:val="left"/>
              <w:rPr>
                <w:color w:val="000000"/>
                <w:kern w:val="0"/>
                <w:sz w:val="18"/>
                <w:szCs w:val="18"/>
              </w:rPr>
            </w:pPr>
            <w:r>
              <w:rPr>
                <w:color w:val="000000"/>
                <w:kern w:val="0"/>
                <w:sz w:val="18"/>
                <w:szCs w:val="18"/>
              </w:rPr>
              <w:t>　</w:t>
            </w:r>
          </w:p>
        </w:tc>
        <w:tc>
          <w:tcPr>
            <w:tcW w:w="999"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形成一套技术先进，科学智能的数字化路网管理系统</w:t>
            </w:r>
          </w:p>
          <w:p>
            <w:pPr>
              <w:spacing w:line="380" w:lineRule="exact"/>
              <w:jc w:val="left"/>
              <w:rPr>
                <w:color w:val="000000"/>
                <w:kern w:val="0"/>
                <w:sz w:val="18"/>
                <w:szCs w:val="18"/>
              </w:rPr>
            </w:pPr>
            <w:r>
              <w:rPr>
                <w:color w:val="000000"/>
                <w:kern w:val="0"/>
                <w:sz w:val="18"/>
                <w:szCs w:val="18"/>
              </w:rPr>
              <w:t>　</w:t>
            </w:r>
          </w:p>
        </w:tc>
        <w:tc>
          <w:tcPr>
            <w:tcW w:w="1233" w:type="pct"/>
            <w:gridSpan w:val="2"/>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p>
          <w:p>
            <w:pPr>
              <w:widowControl/>
              <w:spacing w:line="380" w:lineRule="exact"/>
              <w:jc w:val="left"/>
              <w:rPr>
                <w:color w:val="000000"/>
                <w:kern w:val="0"/>
                <w:sz w:val="18"/>
                <w:szCs w:val="18"/>
              </w:rPr>
            </w:pPr>
            <w:r>
              <w:rPr>
                <w:color w:val="000000"/>
                <w:kern w:val="0"/>
                <w:sz w:val="18"/>
                <w:szCs w:val="18"/>
              </w:rPr>
              <w:t>　</w:t>
            </w:r>
          </w:p>
          <w:p>
            <w:pPr>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无偏差</w:t>
            </w:r>
          </w:p>
        </w:tc>
      </w:tr>
      <w:bookmarkEnd w:id="57"/>
    </w:tbl>
    <w:p>
      <w:pPr>
        <w:pStyle w:val="2"/>
        <w:rPr>
          <w:rFonts w:eastAsia="黑体"/>
          <w:color w:val="000000"/>
          <w:sz w:val="44"/>
          <w:szCs w:val="44"/>
        </w:rPr>
      </w:pPr>
      <w:bookmarkStart w:id="59" w:name="_Toc15396618"/>
    </w:p>
    <w:p/>
    <w:p>
      <w:pPr>
        <w:spacing w:line="600" w:lineRule="exact"/>
        <w:jc w:val="center"/>
        <w:outlineLvl w:val="0"/>
        <w:rPr>
          <w:rStyle w:val="13"/>
          <w:rFonts w:ascii="方正小标宋简体" w:eastAsia="方正小标宋简体"/>
          <w:b w:val="0"/>
          <w:bCs w:val="0"/>
          <w:sz w:val="36"/>
          <w:szCs w:val="36"/>
        </w:rPr>
      </w:pPr>
      <w:r>
        <w:rPr>
          <w:rStyle w:val="13"/>
          <w:rFonts w:hint="eastAsia" w:ascii="方正小标宋简体" w:eastAsia="方正小标宋简体"/>
          <w:b w:val="0"/>
          <w:bCs w:val="0"/>
          <w:sz w:val="36"/>
          <w:szCs w:val="36"/>
        </w:rPr>
        <w:t>第五部分 附表</w:t>
      </w:r>
      <w:bookmarkEnd w:id="59"/>
    </w:p>
    <w:p>
      <w:pPr>
        <w:pStyle w:val="4"/>
        <w:spacing w:before="0" w:after="0" w:line="560" w:lineRule="exact"/>
        <w:rPr>
          <w:rFonts w:ascii="方正仿宋_GBK" w:hAnsi="仿宋" w:eastAsia="方正仿宋_GBK"/>
        </w:rPr>
      </w:pPr>
      <w:r>
        <w:rPr>
          <w:rFonts w:hint="eastAsia" w:ascii="方正仿宋_GBK" w:hAnsi="仿宋" w:eastAsia="方正仿宋_GBK"/>
          <w:b w:val="0"/>
        </w:rPr>
        <w:t>一、收</w:t>
      </w:r>
      <w:r>
        <w:rPr>
          <w:rStyle w:val="14"/>
          <w:rFonts w:hint="eastAsia" w:ascii="方正仿宋_GBK" w:hAnsi="仿宋" w:eastAsia="方正仿宋_GBK"/>
          <w:b w:val="0"/>
          <w:bCs w:val="0"/>
        </w:rPr>
        <w:t>入支出决算总表</w:t>
      </w:r>
    </w:p>
    <w:p>
      <w:pPr>
        <w:pStyle w:val="4"/>
        <w:spacing w:before="0" w:after="0" w:line="560" w:lineRule="exact"/>
        <w:rPr>
          <w:rFonts w:ascii="方正仿宋_GBK" w:hAnsi="仿宋" w:eastAsia="方正仿宋_GBK"/>
        </w:rPr>
      </w:pPr>
      <w:bookmarkStart w:id="60" w:name="_Toc15396620"/>
      <w:r>
        <w:rPr>
          <w:rFonts w:hint="eastAsia" w:ascii="方正仿宋_GBK" w:hAnsi="仿宋" w:eastAsia="方正仿宋_GBK"/>
          <w:b w:val="0"/>
        </w:rPr>
        <w:t>二、收</w:t>
      </w:r>
      <w:r>
        <w:rPr>
          <w:rStyle w:val="14"/>
          <w:rFonts w:hint="eastAsia" w:ascii="方正仿宋_GBK" w:hAnsi="仿宋" w:eastAsia="方正仿宋_GBK"/>
          <w:b w:val="0"/>
          <w:bCs w:val="0"/>
        </w:rPr>
        <w:t>入决算表</w:t>
      </w:r>
      <w:bookmarkEnd w:id="60"/>
    </w:p>
    <w:p>
      <w:pPr>
        <w:pStyle w:val="4"/>
        <w:spacing w:before="0" w:after="0" w:line="560" w:lineRule="exact"/>
        <w:rPr>
          <w:rFonts w:ascii="方正仿宋_GBK" w:hAnsi="仿宋" w:eastAsia="方正仿宋_GBK"/>
        </w:rPr>
      </w:pPr>
      <w:bookmarkStart w:id="61" w:name="_Toc15396621"/>
      <w:r>
        <w:rPr>
          <w:rStyle w:val="14"/>
          <w:rFonts w:hint="eastAsia" w:ascii="方正仿宋_GBK" w:hAnsi="仿宋" w:eastAsia="方正仿宋_GBK"/>
          <w:b w:val="0"/>
          <w:bCs w:val="0"/>
        </w:rPr>
        <w:t>三、</w:t>
      </w:r>
      <w:r>
        <w:rPr>
          <w:rFonts w:hint="eastAsia" w:ascii="方正仿宋_GBK" w:hAnsi="仿宋" w:eastAsia="方正仿宋_GBK"/>
          <w:b w:val="0"/>
        </w:rPr>
        <w:t>支</w:t>
      </w:r>
      <w:r>
        <w:rPr>
          <w:rStyle w:val="14"/>
          <w:rFonts w:hint="eastAsia" w:ascii="方正仿宋_GBK" w:hAnsi="仿宋" w:eastAsia="方正仿宋_GBK"/>
          <w:b w:val="0"/>
          <w:bCs w:val="0"/>
        </w:rPr>
        <w:t>出决算表</w:t>
      </w:r>
      <w:bookmarkEnd w:id="61"/>
    </w:p>
    <w:p>
      <w:pPr>
        <w:pStyle w:val="4"/>
        <w:spacing w:before="0" w:after="0" w:line="560" w:lineRule="exact"/>
        <w:rPr>
          <w:rFonts w:ascii="方正仿宋_GBK" w:hAnsi="仿宋" w:eastAsia="方正仿宋_GBK"/>
          <w:b w:val="0"/>
        </w:rPr>
      </w:pPr>
      <w:bookmarkStart w:id="62" w:name="_Toc15396622"/>
      <w:r>
        <w:rPr>
          <w:rStyle w:val="14"/>
          <w:rFonts w:hint="eastAsia" w:ascii="方正仿宋_GBK" w:hAnsi="仿宋" w:eastAsia="方正仿宋_GBK"/>
          <w:b w:val="0"/>
          <w:bCs w:val="0"/>
        </w:rPr>
        <w:t>四、</w:t>
      </w:r>
      <w:r>
        <w:rPr>
          <w:rFonts w:hint="eastAsia" w:ascii="方正仿宋_GBK" w:hAnsi="仿宋" w:eastAsia="方正仿宋_GBK"/>
          <w:b w:val="0"/>
        </w:rPr>
        <w:t>财</w:t>
      </w:r>
      <w:r>
        <w:rPr>
          <w:rStyle w:val="14"/>
          <w:rFonts w:hint="eastAsia" w:ascii="方正仿宋_GBK" w:hAnsi="仿宋" w:eastAsia="方正仿宋_GBK"/>
          <w:b w:val="0"/>
          <w:bCs w:val="0"/>
        </w:rPr>
        <w:t>政拨款收入支出决算总表</w:t>
      </w:r>
      <w:bookmarkEnd w:id="62"/>
    </w:p>
    <w:p>
      <w:pPr>
        <w:pStyle w:val="4"/>
        <w:spacing w:before="0" w:after="0" w:line="560" w:lineRule="exact"/>
        <w:rPr>
          <w:rStyle w:val="14"/>
          <w:rFonts w:ascii="方正仿宋_GBK" w:hAnsi="仿宋" w:eastAsia="方正仿宋_GBK"/>
          <w:b w:val="0"/>
          <w:bCs w:val="0"/>
        </w:rPr>
      </w:pPr>
      <w:bookmarkStart w:id="63" w:name="_Toc15396623"/>
      <w:r>
        <w:rPr>
          <w:rStyle w:val="14"/>
          <w:rFonts w:hint="eastAsia" w:ascii="方正仿宋_GBK" w:hAnsi="仿宋" w:eastAsia="方正仿宋_GBK"/>
          <w:b w:val="0"/>
          <w:bCs w:val="0"/>
        </w:rPr>
        <w:t>五、</w:t>
      </w:r>
      <w:r>
        <w:rPr>
          <w:rFonts w:hint="eastAsia" w:ascii="方正仿宋_GBK" w:hAnsi="仿宋" w:eastAsia="方正仿宋_GBK"/>
          <w:b w:val="0"/>
        </w:rPr>
        <w:t>财</w:t>
      </w:r>
      <w:r>
        <w:rPr>
          <w:rStyle w:val="14"/>
          <w:rFonts w:hint="eastAsia" w:ascii="方正仿宋_GBK" w:hAnsi="仿宋" w:eastAsia="方正仿宋_GBK"/>
          <w:b w:val="0"/>
          <w:bCs w:val="0"/>
        </w:rPr>
        <w:t>政拨款支出决算明细表</w:t>
      </w:r>
      <w:bookmarkEnd w:id="63"/>
      <w:bookmarkStart w:id="64" w:name="_Toc15396624"/>
    </w:p>
    <w:p>
      <w:pPr>
        <w:pStyle w:val="4"/>
        <w:spacing w:before="0" w:after="0" w:line="560" w:lineRule="exact"/>
        <w:rPr>
          <w:rFonts w:ascii="方正仿宋_GBK" w:hAnsi="仿宋" w:eastAsia="方正仿宋_GBK"/>
        </w:rPr>
      </w:pPr>
      <w:r>
        <w:rPr>
          <w:rStyle w:val="14"/>
          <w:rFonts w:hint="eastAsia" w:ascii="方正仿宋_GBK" w:hAnsi="仿宋" w:eastAsia="方正仿宋_GBK"/>
          <w:b w:val="0"/>
          <w:bCs w:val="0"/>
        </w:rPr>
        <w:t>六、</w:t>
      </w:r>
      <w:r>
        <w:rPr>
          <w:rFonts w:hint="eastAsia" w:ascii="方正仿宋_GBK" w:hAnsi="仿宋" w:eastAsia="方正仿宋_GBK"/>
          <w:b w:val="0"/>
        </w:rPr>
        <w:t>一</w:t>
      </w:r>
      <w:r>
        <w:rPr>
          <w:rStyle w:val="14"/>
          <w:rFonts w:hint="eastAsia" w:ascii="方正仿宋_GBK" w:hAnsi="仿宋" w:eastAsia="方正仿宋_GBK"/>
          <w:b w:val="0"/>
          <w:bCs w:val="0"/>
        </w:rPr>
        <w:t>般公共预算财政拨款支出决算表</w:t>
      </w:r>
      <w:bookmarkEnd w:id="64"/>
    </w:p>
    <w:p>
      <w:pPr>
        <w:pStyle w:val="4"/>
        <w:spacing w:before="0" w:after="0" w:line="560" w:lineRule="exact"/>
        <w:rPr>
          <w:rFonts w:ascii="方正仿宋_GBK" w:hAnsi="仿宋" w:eastAsia="方正仿宋_GBK"/>
        </w:rPr>
      </w:pPr>
      <w:bookmarkStart w:id="65" w:name="_Toc15396625"/>
      <w:r>
        <w:rPr>
          <w:rStyle w:val="14"/>
          <w:rFonts w:hint="eastAsia" w:ascii="方正仿宋_GBK" w:hAnsi="仿宋" w:eastAsia="方正仿宋_GBK"/>
          <w:b w:val="0"/>
          <w:bCs w:val="0"/>
        </w:rPr>
        <w:t>七、</w:t>
      </w:r>
      <w:r>
        <w:rPr>
          <w:rFonts w:hint="eastAsia" w:ascii="方正仿宋_GBK" w:hAnsi="仿宋" w:eastAsia="方正仿宋_GBK"/>
          <w:b w:val="0"/>
        </w:rPr>
        <w:t>一</w:t>
      </w:r>
      <w:r>
        <w:rPr>
          <w:rStyle w:val="14"/>
          <w:rFonts w:hint="eastAsia" w:ascii="方正仿宋_GBK" w:hAnsi="仿宋" w:eastAsia="方正仿宋_GBK"/>
          <w:b w:val="0"/>
          <w:bCs w:val="0"/>
        </w:rPr>
        <w:t>般公共预算财政拨款支出决算明细表</w:t>
      </w:r>
      <w:bookmarkEnd w:id="65"/>
    </w:p>
    <w:p>
      <w:pPr>
        <w:pStyle w:val="4"/>
        <w:spacing w:before="0" w:after="0" w:line="560" w:lineRule="exact"/>
        <w:rPr>
          <w:rFonts w:ascii="方正仿宋_GBK" w:hAnsi="仿宋" w:eastAsia="方正仿宋_GBK"/>
        </w:rPr>
      </w:pPr>
      <w:bookmarkStart w:id="66" w:name="_Toc15396626"/>
      <w:r>
        <w:rPr>
          <w:rStyle w:val="14"/>
          <w:rFonts w:hint="eastAsia" w:ascii="方正仿宋_GBK" w:hAnsi="仿宋" w:eastAsia="方正仿宋_GBK"/>
          <w:b w:val="0"/>
          <w:bCs w:val="0"/>
        </w:rPr>
        <w:t>八、</w:t>
      </w:r>
      <w:r>
        <w:rPr>
          <w:rFonts w:hint="eastAsia" w:ascii="方正仿宋_GBK" w:hAnsi="仿宋" w:eastAsia="方正仿宋_GBK"/>
          <w:b w:val="0"/>
        </w:rPr>
        <w:t>一</w:t>
      </w:r>
      <w:r>
        <w:rPr>
          <w:rStyle w:val="14"/>
          <w:rFonts w:hint="eastAsia" w:ascii="方正仿宋_GBK" w:hAnsi="仿宋" w:eastAsia="方正仿宋_GBK"/>
          <w:b w:val="0"/>
          <w:bCs w:val="0"/>
        </w:rPr>
        <w:t>般公共预算财政拨款基本支出决算表</w:t>
      </w:r>
      <w:bookmarkEnd w:id="66"/>
    </w:p>
    <w:p>
      <w:pPr>
        <w:pStyle w:val="4"/>
        <w:spacing w:before="0" w:after="0" w:line="560" w:lineRule="exact"/>
        <w:rPr>
          <w:rFonts w:ascii="方正仿宋_GBK" w:hAnsi="仿宋" w:eastAsia="方正仿宋_GBK"/>
        </w:rPr>
      </w:pPr>
      <w:bookmarkStart w:id="67" w:name="_Toc15396627"/>
      <w:r>
        <w:rPr>
          <w:rStyle w:val="14"/>
          <w:rFonts w:hint="eastAsia" w:ascii="方正仿宋_GBK" w:hAnsi="仿宋" w:eastAsia="方正仿宋_GBK"/>
          <w:b w:val="0"/>
          <w:bCs w:val="0"/>
        </w:rPr>
        <w:t>九、</w:t>
      </w:r>
      <w:r>
        <w:rPr>
          <w:rFonts w:hint="eastAsia" w:ascii="方正仿宋_GBK" w:hAnsi="仿宋" w:eastAsia="方正仿宋_GBK"/>
          <w:b w:val="0"/>
        </w:rPr>
        <w:t>一</w:t>
      </w:r>
      <w:r>
        <w:rPr>
          <w:rStyle w:val="14"/>
          <w:rFonts w:hint="eastAsia" w:ascii="方正仿宋_GBK" w:hAnsi="仿宋" w:eastAsia="方正仿宋_GBK"/>
          <w:b w:val="0"/>
          <w:bCs w:val="0"/>
        </w:rPr>
        <w:t>般公共预算财政拨款项目支出决算表</w:t>
      </w:r>
      <w:bookmarkEnd w:id="67"/>
    </w:p>
    <w:p>
      <w:pPr>
        <w:pStyle w:val="4"/>
        <w:spacing w:before="0" w:after="0" w:line="560" w:lineRule="exact"/>
        <w:rPr>
          <w:rFonts w:ascii="方正仿宋_GBK" w:hAnsi="仿宋" w:eastAsia="方正仿宋_GBK"/>
        </w:rPr>
      </w:pPr>
      <w:bookmarkStart w:id="68" w:name="_Toc15396628"/>
      <w:r>
        <w:rPr>
          <w:rStyle w:val="14"/>
          <w:rFonts w:hint="eastAsia" w:ascii="方正仿宋_GBK" w:hAnsi="仿宋" w:eastAsia="方正仿宋_GBK"/>
          <w:b w:val="0"/>
          <w:bCs w:val="0"/>
        </w:rPr>
        <w:t>十、</w:t>
      </w:r>
      <w:r>
        <w:rPr>
          <w:rFonts w:hint="eastAsia" w:ascii="方正仿宋_GBK" w:hAnsi="仿宋" w:eastAsia="方正仿宋_GBK"/>
          <w:b w:val="0"/>
        </w:rPr>
        <w:t>一</w:t>
      </w:r>
      <w:r>
        <w:rPr>
          <w:rStyle w:val="14"/>
          <w:rFonts w:hint="eastAsia" w:ascii="方正仿宋_GBK" w:hAnsi="仿宋" w:eastAsia="方正仿宋_GBK"/>
          <w:b w:val="0"/>
          <w:bCs w:val="0"/>
        </w:rPr>
        <w:t>般公共预算财政拨款“三公”经费支出决算表</w:t>
      </w:r>
      <w:bookmarkEnd w:id="68"/>
    </w:p>
    <w:p>
      <w:pPr>
        <w:pStyle w:val="4"/>
        <w:spacing w:before="0" w:after="0" w:line="560" w:lineRule="exact"/>
        <w:rPr>
          <w:rFonts w:ascii="方正仿宋_GBK" w:hAnsi="仿宋" w:eastAsia="方正仿宋_GBK"/>
        </w:rPr>
      </w:pPr>
      <w:bookmarkStart w:id="69" w:name="_Toc15396629"/>
      <w:r>
        <w:rPr>
          <w:rStyle w:val="14"/>
          <w:rFonts w:hint="eastAsia" w:ascii="方正仿宋_GBK" w:hAnsi="仿宋" w:eastAsia="方正仿宋_GBK"/>
          <w:b w:val="0"/>
          <w:bCs w:val="0"/>
        </w:rPr>
        <w:t>十一、</w:t>
      </w:r>
      <w:r>
        <w:rPr>
          <w:rFonts w:hint="eastAsia" w:ascii="方正仿宋_GBK" w:hAnsi="仿宋" w:eastAsia="方正仿宋_GBK"/>
          <w:b w:val="0"/>
        </w:rPr>
        <w:t>政</w:t>
      </w:r>
      <w:r>
        <w:rPr>
          <w:rStyle w:val="14"/>
          <w:rFonts w:hint="eastAsia" w:ascii="方正仿宋_GBK" w:hAnsi="仿宋" w:eastAsia="方正仿宋_GBK"/>
          <w:b w:val="0"/>
          <w:bCs w:val="0"/>
        </w:rPr>
        <w:t>府性基金预算财政拨款收入支出决算表</w:t>
      </w:r>
      <w:bookmarkEnd w:id="69"/>
    </w:p>
    <w:p>
      <w:pPr>
        <w:pStyle w:val="4"/>
        <w:spacing w:before="0" w:after="0" w:line="560" w:lineRule="exact"/>
        <w:rPr>
          <w:rFonts w:ascii="方正仿宋_GBK" w:hAnsi="仿宋" w:eastAsia="方正仿宋_GBK"/>
        </w:rPr>
      </w:pPr>
      <w:bookmarkStart w:id="70" w:name="_Toc15396630"/>
      <w:r>
        <w:rPr>
          <w:rStyle w:val="14"/>
          <w:rFonts w:hint="eastAsia" w:ascii="方正仿宋_GBK" w:hAnsi="仿宋" w:eastAsia="方正仿宋_GBK"/>
          <w:b w:val="0"/>
          <w:bCs w:val="0"/>
        </w:rPr>
        <w:t>十二、</w:t>
      </w:r>
      <w:r>
        <w:rPr>
          <w:rFonts w:hint="eastAsia" w:ascii="方正仿宋_GBK" w:hAnsi="仿宋" w:eastAsia="方正仿宋_GBK"/>
          <w:b w:val="0"/>
        </w:rPr>
        <w:t>政</w:t>
      </w:r>
      <w:r>
        <w:rPr>
          <w:rStyle w:val="14"/>
          <w:rFonts w:hint="eastAsia" w:ascii="方正仿宋_GBK" w:hAnsi="仿宋" w:eastAsia="方正仿宋_GBK"/>
          <w:b w:val="0"/>
          <w:bCs w:val="0"/>
        </w:rPr>
        <w:t>府性基金预算财政拨款“三公”经费支出决算表</w:t>
      </w:r>
      <w:bookmarkEnd w:id="70"/>
    </w:p>
    <w:p>
      <w:pPr>
        <w:pStyle w:val="4"/>
        <w:spacing w:before="0" w:after="0" w:line="560" w:lineRule="exact"/>
        <w:rPr>
          <w:rStyle w:val="14"/>
          <w:rFonts w:ascii="方正仿宋_GBK" w:hAnsi="仿宋" w:eastAsia="方正仿宋_GBK"/>
          <w:b w:val="0"/>
          <w:bCs w:val="0"/>
        </w:rPr>
      </w:pPr>
      <w:bookmarkStart w:id="71" w:name="_Toc15396631"/>
      <w:r>
        <w:rPr>
          <w:rStyle w:val="14"/>
          <w:rFonts w:hint="eastAsia" w:ascii="方正仿宋_GBK" w:hAnsi="仿宋" w:eastAsia="方正仿宋_GBK"/>
          <w:b w:val="0"/>
          <w:bCs w:val="0"/>
        </w:rPr>
        <w:t>十三、</w:t>
      </w:r>
      <w:r>
        <w:rPr>
          <w:rFonts w:hint="eastAsia" w:ascii="方正仿宋_GBK" w:hAnsi="仿宋" w:eastAsia="方正仿宋_GBK"/>
          <w:b w:val="0"/>
        </w:rPr>
        <w:t>国</w:t>
      </w:r>
      <w:r>
        <w:rPr>
          <w:rStyle w:val="14"/>
          <w:rFonts w:hint="eastAsia" w:ascii="方正仿宋_GBK" w:hAnsi="仿宋" w:eastAsia="方正仿宋_GBK"/>
          <w:b w:val="0"/>
          <w:bCs w:val="0"/>
        </w:rPr>
        <w:t>有资本经营预算财政拨款收入支出决算表</w:t>
      </w:r>
      <w:bookmarkEnd w:id="71"/>
    </w:p>
    <w:p>
      <w:pPr>
        <w:spacing w:line="560" w:lineRule="exact"/>
        <w:rPr>
          <w:rStyle w:val="13"/>
          <w:rFonts w:ascii="方正仿宋_GBK" w:eastAsia="方正仿宋_GBK"/>
          <w:b w:val="0"/>
        </w:rPr>
      </w:pPr>
      <w:r>
        <w:rPr>
          <w:rStyle w:val="14"/>
          <w:rFonts w:hint="eastAsia" w:ascii="方正仿宋_GBK" w:hAnsi="仿宋" w:eastAsia="方正仿宋_GBK"/>
          <w:b w:val="0"/>
          <w:bCs w:val="0"/>
        </w:rPr>
        <w:t>十四、国有资本经营预算财政拨款支出决算表</w:t>
      </w:r>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0000000000000000000"/>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简体">
    <w:altName w:val="方正黑体_GBK"/>
    <w:panose1 w:val="00000000000000000000"/>
    <w:charset w:val="86"/>
    <w:family w:val="auto"/>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7EB5"/>
    <w:rsid w:val="00002D27"/>
    <w:rsid w:val="0004786A"/>
    <w:rsid w:val="00063819"/>
    <w:rsid w:val="000832B0"/>
    <w:rsid w:val="00087516"/>
    <w:rsid w:val="00090D53"/>
    <w:rsid w:val="000C3EEB"/>
    <w:rsid w:val="000C55B4"/>
    <w:rsid w:val="001427B3"/>
    <w:rsid w:val="00145402"/>
    <w:rsid w:val="00192F95"/>
    <w:rsid w:val="00202BC1"/>
    <w:rsid w:val="0021694F"/>
    <w:rsid w:val="00216A57"/>
    <w:rsid w:val="00274AA4"/>
    <w:rsid w:val="00295AB2"/>
    <w:rsid w:val="002A0E99"/>
    <w:rsid w:val="002C09EB"/>
    <w:rsid w:val="002D7FF2"/>
    <w:rsid w:val="002E2865"/>
    <w:rsid w:val="003065AE"/>
    <w:rsid w:val="0036206E"/>
    <w:rsid w:val="00371F08"/>
    <w:rsid w:val="00383C65"/>
    <w:rsid w:val="003B2FA0"/>
    <w:rsid w:val="003B4C30"/>
    <w:rsid w:val="003F35DC"/>
    <w:rsid w:val="00477DE0"/>
    <w:rsid w:val="0049376A"/>
    <w:rsid w:val="00497EB5"/>
    <w:rsid w:val="004A7BBA"/>
    <w:rsid w:val="004B453A"/>
    <w:rsid w:val="004F2B23"/>
    <w:rsid w:val="00547078"/>
    <w:rsid w:val="005826F6"/>
    <w:rsid w:val="00583753"/>
    <w:rsid w:val="005D401C"/>
    <w:rsid w:val="00623A5A"/>
    <w:rsid w:val="006420FE"/>
    <w:rsid w:val="00650E46"/>
    <w:rsid w:val="006753C9"/>
    <w:rsid w:val="006853FF"/>
    <w:rsid w:val="00692B6C"/>
    <w:rsid w:val="006967DA"/>
    <w:rsid w:val="00696883"/>
    <w:rsid w:val="006B321E"/>
    <w:rsid w:val="006B7A80"/>
    <w:rsid w:val="006E0801"/>
    <w:rsid w:val="00730143"/>
    <w:rsid w:val="007818E6"/>
    <w:rsid w:val="00781ACE"/>
    <w:rsid w:val="00791EEE"/>
    <w:rsid w:val="0079764D"/>
    <w:rsid w:val="007B2606"/>
    <w:rsid w:val="007D1C96"/>
    <w:rsid w:val="007D30ED"/>
    <w:rsid w:val="007D43D8"/>
    <w:rsid w:val="00850098"/>
    <w:rsid w:val="008A06FE"/>
    <w:rsid w:val="008B251D"/>
    <w:rsid w:val="008B5AA6"/>
    <w:rsid w:val="00941E13"/>
    <w:rsid w:val="00945F08"/>
    <w:rsid w:val="00972792"/>
    <w:rsid w:val="009845EC"/>
    <w:rsid w:val="009A4FDB"/>
    <w:rsid w:val="009B5F14"/>
    <w:rsid w:val="009E1210"/>
    <w:rsid w:val="009F0C4B"/>
    <w:rsid w:val="00A07CF7"/>
    <w:rsid w:val="00A2016A"/>
    <w:rsid w:val="00A7728C"/>
    <w:rsid w:val="00AA7B81"/>
    <w:rsid w:val="00C3382E"/>
    <w:rsid w:val="00CB1DCA"/>
    <w:rsid w:val="00CC28EA"/>
    <w:rsid w:val="00D32CB3"/>
    <w:rsid w:val="00D34294"/>
    <w:rsid w:val="00D4369B"/>
    <w:rsid w:val="00D4603B"/>
    <w:rsid w:val="00D62514"/>
    <w:rsid w:val="00D75105"/>
    <w:rsid w:val="00E01F73"/>
    <w:rsid w:val="00E25E03"/>
    <w:rsid w:val="00E36041"/>
    <w:rsid w:val="00EA13BD"/>
    <w:rsid w:val="00EB674C"/>
    <w:rsid w:val="00EF0BD3"/>
    <w:rsid w:val="00F06C7F"/>
    <w:rsid w:val="00F50E64"/>
    <w:rsid w:val="00F5100C"/>
    <w:rsid w:val="00F87E86"/>
    <w:rsid w:val="00FD4592"/>
    <w:rsid w:val="00FF689B"/>
    <w:rsid w:val="2F684D36"/>
    <w:rsid w:val="3CEE9DDC"/>
    <w:rsid w:val="6FEB1DC6"/>
    <w:rsid w:val="778F6FB8"/>
    <w:rsid w:val="7ECF37A9"/>
    <w:rsid w:val="7FFBEA8A"/>
    <w:rsid w:val="AF77556E"/>
    <w:rsid w:val="DD7F1D43"/>
    <w:rsid w:val="FFEB1A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99"/>
    <w:pPr>
      <w:spacing w:beforeLines="30"/>
    </w:pPr>
    <w:rPr>
      <w:rFonts w:ascii="仿宋_GB2312" w:eastAsia="仿宋_GB2312"/>
      <w:kern w:val="0"/>
      <w:sz w:val="24"/>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kern w:val="0"/>
      <w:sz w:val="18"/>
      <w:szCs w:val="20"/>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character" w:styleId="12">
    <w:name w:val="Strong"/>
    <w:qFormat/>
    <w:uiPriority w:val="99"/>
    <w:rPr>
      <w:rFonts w:cs="Times New Roman"/>
      <w:b/>
    </w:rPr>
  </w:style>
  <w:style w:type="character" w:customStyle="1" w:styleId="13">
    <w:name w:val="标题 1 Char"/>
    <w:basedOn w:val="11"/>
    <w:link w:val="3"/>
    <w:qFormat/>
    <w:uiPriority w:val="9"/>
    <w:rPr>
      <w:rFonts w:ascii="Times New Roman" w:hAnsi="Times New Roman" w:eastAsia="宋体" w:cs="Times New Roman"/>
      <w:b/>
      <w:bCs/>
      <w:kern w:val="44"/>
      <w:sz w:val="44"/>
      <w:szCs w:val="44"/>
    </w:rPr>
  </w:style>
  <w:style w:type="character" w:customStyle="1" w:styleId="14">
    <w:name w:val="标题 2 Char"/>
    <w:basedOn w:val="11"/>
    <w:link w:val="4"/>
    <w:qFormat/>
    <w:uiPriority w:val="9"/>
    <w:rPr>
      <w:rFonts w:ascii="Cambria" w:hAnsi="Cambria" w:eastAsia="宋体" w:cs="Times New Roman"/>
      <w:b/>
      <w:bCs/>
      <w:sz w:val="32"/>
      <w:szCs w:val="32"/>
    </w:rPr>
  </w:style>
  <w:style w:type="character" w:customStyle="1" w:styleId="15">
    <w:name w:val="正文文本 Char"/>
    <w:basedOn w:val="11"/>
    <w:link w:val="2"/>
    <w:qFormat/>
    <w:uiPriority w:val="99"/>
    <w:rPr>
      <w:rFonts w:ascii="仿宋_GB2312" w:hAnsi="Times New Roman" w:eastAsia="仿宋_GB2312" w:cs="Times New Roman"/>
      <w:kern w:val="0"/>
      <w:sz w:val="24"/>
      <w:szCs w:val="20"/>
    </w:rPr>
  </w:style>
  <w:style w:type="character" w:customStyle="1" w:styleId="16">
    <w:name w:val="页脚 Char"/>
    <w:basedOn w:val="11"/>
    <w:link w:val="6"/>
    <w:qFormat/>
    <w:uiPriority w:val="99"/>
    <w:rPr>
      <w:rFonts w:ascii="Times New Roman" w:hAnsi="Times New Roman" w:eastAsia="宋体" w:cs="Times New Roman"/>
      <w:kern w:val="0"/>
      <w:sz w:val="18"/>
      <w:szCs w:val="20"/>
    </w:rPr>
  </w:style>
  <w:style w:type="character" w:customStyle="1" w:styleId="17">
    <w:name w:val="页眉 Char"/>
    <w:basedOn w:val="11"/>
    <w:link w:val="7"/>
    <w:semiHidden/>
    <w:qFormat/>
    <w:uiPriority w:val="99"/>
    <w:rPr>
      <w:rFonts w:ascii="Times New Roman" w:hAnsi="Times New Roman" w:eastAsia="宋体" w:cs="Times New Roman"/>
      <w:kern w:val="0"/>
      <w:sz w:val="18"/>
      <w:szCs w:val="20"/>
    </w:rPr>
  </w:style>
  <w:style w:type="paragraph" w:customStyle="1" w:styleId="18">
    <w:name w:val="Default"/>
    <w:qFormat/>
    <w:uiPriority w:val="99"/>
    <w:pPr>
      <w:widowControl w:val="0"/>
      <w:autoSpaceDE w:val="0"/>
      <w:autoSpaceDN w:val="0"/>
      <w:adjustRightInd w:val="0"/>
    </w:pPr>
    <w:rPr>
      <w:rFonts w:ascii="仿宋" w:hAnsi="Times New Roman" w:eastAsia="仿宋" w:cs="仿宋"/>
      <w:color w:val="000000"/>
      <w:kern w:val="0"/>
      <w:sz w:val="24"/>
      <w:szCs w:val="24"/>
      <w:lang w:val="en-US" w:eastAsia="zh-CN" w:bidi="ar-SA"/>
    </w:rPr>
  </w:style>
  <w:style w:type="paragraph" w:customStyle="1" w:styleId="19">
    <w:name w:val="列出段落1"/>
    <w:basedOn w:val="1"/>
    <w:qFormat/>
    <w:uiPriority w:val="34"/>
    <w:pPr>
      <w:ind w:firstLine="420" w:firstLineChars="200"/>
    </w:pPr>
  </w:style>
  <w:style w:type="character" w:customStyle="1" w:styleId="20">
    <w:name w:val="批注框文本 Char"/>
    <w:basedOn w:val="11"/>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19672131147541"/>
          <c:y val="0.0355731225296444"/>
          <c:w val="0.788706739526412"/>
          <c:h val="0.822134387351779"/>
        </c:manualLayout>
      </c:layout>
      <c:barChart>
        <c:barDir val="col"/>
        <c:grouping val="clustered"/>
        <c:varyColors val="false"/>
        <c:ser>
          <c:idx val="0"/>
          <c:order val="0"/>
          <c:tx>
            <c:strRef>
              <c:f>Sheet1!$A$2</c:f>
              <c:strCache>
                <c:ptCount val="1"/>
                <c:pt idx="0">
                  <c:v>2020</c:v>
                </c:pt>
              </c:strCache>
            </c:strRef>
          </c:tx>
          <c:spPr>
            <a:solidFill>
              <a:srgbClr val="9999FF"/>
            </a:solidFill>
            <a:ln w="12658">
              <a:solidFill>
                <a:srgbClr val="000000"/>
              </a:solidFill>
              <a:prstDash val="solid"/>
            </a:ln>
          </c:spPr>
          <c:invertIfNegative val="false"/>
          <c:dLbls>
            <c:delete val="true"/>
          </c:dLbls>
          <c:cat>
            <c:strRef>
              <c:f>Sheet1!$B$1:$C$1</c:f>
              <c:strCache>
                <c:ptCount val="2"/>
                <c:pt idx="0">
                  <c:v>收入总计</c:v>
                </c:pt>
                <c:pt idx="1">
                  <c:v>支出总计</c:v>
                </c:pt>
              </c:strCache>
            </c:strRef>
          </c:cat>
          <c:val>
            <c:numRef>
              <c:f>Sheet1!$B$2:$C$2</c:f>
              <c:numCache>
                <c:formatCode>General</c:formatCode>
                <c:ptCount val="2"/>
                <c:pt idx="0">
                  <c:v>1022.6</c:v>
                </c:pt>
                <c:pt idx="1">
                  <c:v>1022.6</c:v>
                </c:pt>
              </c:numCache>
            </c:numRef>
          </c:val>
        </c:ser>
        <c:ser>
          <c:idx val="1"/>
          <c:order val="1"/>
          <c:tx>
            <c:strRef>
              <c:f>Sheet1!$A$3</c:f>
              <c:strCache>
                <c:ptCount val="1"/>
                <c:pt idx="0">
                  <c:v>2021</c:v>
                </c:pt>
              </c:strCache>
            </c:strRef>
          </c:tx>
          <c:spPr>
            <a:solidFill>
              <a:srgbClr val="993366"/>
            </a:solidFill>
            <a:ln w="12658">
              <a:solidFill>
                <a:srgbClr val="000000"/>
              </a:solidFill>
              <a:prstDash val="solid"/>
            </a:ln>
          </c:spPr>
          <c:invertIfNegative val="false"/>
          <c:dLbls>
            <c:delete val="true"/>
          </c:dLbls>
          <c:cat>
            <c:strRef>
              <c:f>Sheet1!$B$1:$C$1</c:f>
              <c:strCache>
                <c:ptCount val="2"/>
                <c:pt idx="0">
                  <c:v>收入总计</c:v>
                </c:pt>
                <c:pt idx="1">
                  <c:v>支出总计</c:v>
                </c:pt>
              </c:strCache>
            </c:strRef>
          </c:cat>
          <c:val>
            <c:numRef>
              <c:f>Sheet1!$B$3:$C$3</c:f>
              <c:numCache>
                <c:formatCode>General</c:formatCode>
                <c:ptCount val="2"/>
                <c:pt idx="0">
                  <c:v>758.839999999999</c:v>
                </c:pt>
                <c:pt idx="1">
                  <c:v>758.839999999999</c:v>
                </c:pt>
              </c:numCache>
            </c:numRef>
          </c:val>
        </c:ser>
        <c:dLbls>
          <c:showLegendKey val="false"/>
          <c:showVal val="false"/>
          <c:showCatName val="false"/>
          <c:showSerName val="false"/>
          <c:showPercent val="false"/>
          <c:showBubbleSize val="false"/>
        </c:dLbls>
        <c:gapWidth val="150"/>
        <c:axId val="196745088"/>
        <c:axId val="196778624"/>
      </c:barChart>
      <c:catAx>
        <c:axId val="196745088"/>
        <c:scaling>
          <c:orientation val="minMax"/>
        </c:scaling>
        <c:delete val="false"/>
        <c:axPos val="b"/>
        <c:numFmt formatCode="General" sourceLinked="true"/>
        <c:majorTickMark val="in"/>
        <c:minorTickMark val="none"/>
        <c:tickLblPos val="low"/>
        <c:spPr>
          <a:ln w="3165" cap="flat" cmpd="sng" algn="ctr">
            <a:solidFill>
              <a:srgbClr val="000000"/>
            </a:solidFill>
            <a:prstDash val="solid"/>
            <a:round/>
          </a:ln>
        </c:spPr>
        <c:txPr>
          <a:bodyPr rot="0" spcFirstLastPara="0" vertOverflow="ellipsis" vert="horz" wrap="square" anchor="ctr" anchorCtr="true"/>
          <a:lstStyle/>
          <a:p>
            <a:pPr>
              <a:defRPr lang="zh-CN" sz="1195" b="0" i="0" u="none" strike="noStrike" kern="1200" baseline="0">
                <a:solidFill>
                  <a:srgbClr val="000000"/>
                </a:solidFill>
                <a:latin typeface="宋体"/>
                <a:ea typeface="宋体"/>
                <a:cs typeface="宋体"/>
              </a:defRPr>
            </a:pPr>
          </a:p>
        </c:txPr>
        <c:crossAx val="196778624"/>
        <c:crosses val="autoZero"/>
        <c:auto val="true"/>
        <c:lblAlgn val="ctr"/>
        <c:lblOffset val="100"/>
        <c:tickLblSkip val="1"/>
        <c:noMultiLvlLbl val="false"/>
      </c:catAx>
      <c:valAx>
        <c:axId val="196778624"/>
        <c:scaling>
          <c:orientation val="minMax"/>
        </c:scaling>
        <c:delete val="false"/>
        <c:axPos val="l"/>
        <c:majorGridlines>
          <c:spPr>
            <a:ln w="3165" cap="flat" cmpd="sng" algn="ctr">
              <a:solidFill>
                <a:srgbClr val="000000"/>
              </a:solidFill>
              <a:prstDash val="solid"/>
              <a:round/>
            </a:ln>
          </c:spPr>
        </c:majorGridlines>
        <c:numFmt formatCode="General" sourceLinked="true"/>
        <c:majorTickMark val="in"/>
        <c:minorTickMark val="none"/>
        <c:tickLblPos val="nextTo"/>
        <c:spPr>
          <a:ln w="3165" cap="flat" cmpd="sng" algn="ctr">
            <a:solidFill>
              <a:srgbClr val="000000"/>
            </a:solidFill>
            <a:prstDash val="solid"/>
            <a:round/>
          </a:ln>
        </c:spPr>
        <c:txPr>
          <a:bodyPr rot="0" spcFirstLastPara="0" vertOverflow="ellipsis" vert="horz" wrap="square" anchor="ctr" anchorCtr="true"/>
          <a:lstStyle/>
          <a:p>
            <a:pPr>
              <a:defRPr lang="zh-CN" sz="1195" b="0" i="0" u="none" strike="noStrike" kern="1200" baseline="0">
                <a:solidFill>
                  <a:srgbClr val="000000"/>
                </a:solidFill>
                <a:latin typeface="宋体"/>
                <a:ea typeface="宋体"/>
                <a:cs typeface="宋体"/>
              </a:defRPr>
            </a:pPr>
          </a:p>
        </c:txPr>
        <c:crossAx val="19674508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90710382513662"/>
          <c:y val="0.415019762845851"/>
          <c:w val="0.10200364298725"/>
          <c:h val="0.169960474308301"/>
        </c:manualLayout>
      </c:layout>
      <c:overlay val="false"/>
      <c:spPr>
        <a:noFill/>
        <a:ln w="3165">
          <a:solidFill>
            <a:srgbClr val="000000"/>
          </a:solidFill>
          <a:prstDash val="solid"/>
        </a:ln>
      </c:spPr>
      <c:txPr>
        <a:bodyPr rot="0" spcFirstLastPara="0" vertOverflow="ellipsis" vert="horz" wrap="square" anchor="ctr" anchorCtr="true"/>
        <a:lstStyle/>
        <a:p>
          <a:pPr>
            <a:defRPr lang="zh-CN" sz="1095" b="0" i="0" u="none" strike="noStrike" kern="1200" baseline="0">
              <a:solidFill>
                <a:srgbClr val="000000"/>
              </a:solidFill>
              <a:latin typeface="宋体"/>
              <a:ea typeface="宋体"/>
              <a:cs typeface="宋体"/>
            </a:defRPr>
          </a:pPr>
        </a:p>
      </c:txPr>
    </c:legend>
    <c:plotVisOnly val="true"/>
    <c:dispBlanksAs val="gap"/>
    <c:showDLblsOverMax val="false"/>
  </c:chart>
  <c:spPr>
    <a:noFill/>
    <a:ln w="6350" cap="flat" cmpd="sng" algn="ctr">
      <a:solidFill>
        <a:srgbClr val="000000"/>
      </a:solidFill>
      <a:prstDash val="solid"/>
      <a:miter lim="800000"/>
      <a:headEnd type="none" w="med" len="med"/>
      <a:tailEnd type="none" w="med" len="med"/>
    </a:ln>
  </c:spPr>
  <c:txPr>
    <a:bodyPr/>
    <a:lstStyle/>
    <a:p>
      <a:pPr>
        <a:defRPr lang="zh-CN" sz="1195" b="0" i="0" u="none" strike="noStrike" baseline="0">
          <a:solidFill>
            <a:srgbClr val="000000"/>
          </a:solidFill>
          <a:latin typeface="宋体"/>
          <a:ea typeface="宋体"/>
          <a:cs typeface="宋体"/>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2021年本年收入</c:v>
                </c:pt>
              </c:strCache>
            </c:strRef>
          </c:tx>
          <c:explosion val="0"/>
          <c:dPt>
            <c:idx val="0"/>
            <c:bubble3D val="false"/>
          </c:dPt>
          <c:dLbls>
            <c:delete val="true"/>
          </c:dLbls>
          <c:cat>
            <c:strRef>
              <c:f>Sheet1!$A$2</c:f>
              <c:strCache>
                <c:ptCount val="1"/>
                <c:pt idx="0">
                  <c:v>一般公共预算财政拨款收入</c:v>
                </c:pt>
              </c:strCache>
            </c:strRef>
          </c:cat>
          <c:val>
            <c:numRef>
              <c:f>Sheet1!$B$2</c:f>
              <c:numCache>
                <c:formatCode>General</c:formatCode>
                <c:ptCount val="1"/>
                <c:pt idx="0">
                  <c:v>754.26</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2021年本年支出</c:v>
                </c:pt>
              </c:strCache>
            </c:strRef>
          </c:tx>
          <c:explosion val="0"/>
          <c:dPt>
            <c:idx val="0"/>
            <c:bubble3D val="false"/>
          </c:dPt>
          <c:dPt>
            <c:idx val="1"/>
            <c:bubble3D val="false"/>
          </c:dPt>
          <c:dLbls>
            <c:delete val="true"/>
          </c:dLbls>
          <c:cat>
            <c:strRef>
              <c:f>Sheet1!$A$2:$A$3</c:f>
              <c:strCache>
                <c:ptCount val="2"/>
                <c:pt idx="0">
                  <c:v>基本支出</c:v>
                </c:pt>
                <c:pt idx="1">
                  <c:v>项目支出</c:v>
                </c:pt>
              </c:strCache>
            </c:strRef>
          </c:cat>
          <c:val>
            <c:numRef>
              <c:f>Sheet1!$B$2:$B$3</c:f>
              <c:numCache>
                <c:formatCode>General</c:formatCode>
                <c:ptCount val="2"/>
                <c:pt idx="0">
                  <c:v>665.15</c:v>
                </c:pt>
                <c:pt idx="1">
                  <c:v>93.68</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c:v>
                </c:pt>
              </c:strCache>
            </c:strRef>
          </c:tx>
          <c:invertIfNegative val="false"/>
          <c:dLbls>
            <c:delete val="true"/>
          </c:dLbls>
          <c:cat>
            <c:strRef>
              <c:f>Sheet1!$A$2:$A$3</c:f>
              <c:strCache>
                <c:ptCount val="2"/>
                <c:pt idx="0">
                  <c:v>财政拨款收入总计</c:v>
                </c:pt>
                <c:pt idx="1">
                  <c:v>财政拨款支出总计</c:v>
                </c:pt>
              </c:strCache>
            </c:strRef>
          </c:cat>
          <c:val>
            <c:numRef>
              <c:f>Sheet1!$B$2:$B$3</c:f>
              <c:numCache>
                <c:formatCode>General</c:formatCode>
                <c:ptCount val="2"/>
                <c:pt idx="0">
                  <c:v>1022.6</c:v>
                </c:pt>
                <c:pt idx="1">
                  <c:v>1022.6</c:v>
                </c:pt>
              </c:numCache>
            </c:numRef>
          </c:val>
        </c:ser>
        <c:ser>
          <c:idx val="1"/>
          <c:order val="1"/>
          <c:tx>
            <c:strRef>
              <c:f>Sheet1!$C$1</c:f>
              <c:strCache>
                <c:ptCount val="1"/>
                <c:pt idx="0">
                  <c:v>2021</c:v>
                </c:pt>
              </c:strCache>
            </c:strRef>
          </c:tx>
          <c:invertIfNegative val="false"/>
          <c:dLbls>
            <c:delete val="true"/>
          </c:dLbls>
          <c:cat>
            <c:strRef>
              <c:f>Sheet1!$A$2:$A$3</c:f>
              <c:strCache>
                <c:ptCount val="2"/>
                <c:pt idx="0">
                  <c:v>财政拨款收入总计</c:v>
                </c:pt>
                <c:pt idx="1">
                  <c:v>财政拨款支出总计</c:v>
                </c:pt>
              </c:strCache>
            </c:strRef>
          </c:cat>
          <c:val>
            <c:numRef>
              <c:f>Sheet1!$C$2:$C$3</c:f>
              <c:numCache>
                <c:formatCode>General</c:formatCode>
                <c:ptCount val="2"/>
                <c:pt idx="0">
                  <c:v>758.839999999999</c:v>
                </c:pt>
                <c:pt idx="1">
                  <c:v>758.839999999999</c:v>
                </c:pt>
              </c:numCache>
            </c:numRef>
          </c:val>
        </c:ser>
        <c:dLbls>
          <c:showLegendKey val="false"/>
          <c:showVal val="false"/>
          <c:showCatName val="false"/>
          <c:showSerName val="false"/>
          <c:showPercent val="false"/>
          <c:showBubbleSize val="false"/>
        </c:dLbls>
        <c:gapWidth val="150"/>
        <c:axId val="281622016"/>
        <c:axId val="292691968"/>
      </c:barChart>
      <c:catAx>
        <c:axId val="281622016"/>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92691968"/>
        <c:crosses val="autoZero"/>
        <c:auto val="true"/>
        <c:lblAlgn val="ctr"/>
        <c:lblOffset val="100"/>
        <c:noMultiLvlLbl val="false"/>
      </c:catAx>
      <c:valAx>
        <c:axId val="29269196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81622016"/>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一般公共预算财政拨款支出</c:v>
                </c:pt>
              </c:strCache>
            </c:strRef>
          </c:tx>
          <c:invertIfNegative val="false"/>
          <c:dLbls>
            <c:delete val="true"/>
          </c:dLbls>
          <c:cat>
            <c:numRef>
              <c:f>Sheet1!$A$2:$A$3</c:f>
              <c:numCache>
                <c:formatCode>General</c:formatCode>
                <c:ptCount val="2"/>
                <c:pt idx="0">
                  <c:v>2020</c:v>
                </c:pt>
                <c:pt idx="1">
                  <c:v>2021</c:v>
                </c:pt>
              </c:numCache>
            </c:numRef>
          </c:cat>
          <c:val>
            <c:numRef>
              <c:f>Sheet1!$B$2:$B$3</c:f>
              <c:numCache>
                <c:formatCode>General</c:formatCode>
                <c:ptCount val="2"/>
                <c:pt idx="0">
                  <c:v>1018.02</c:v>
                </c:pt>
                <c:pt idx="1">
                  <c:v>754.26</c:v>
                </c:pt>
              </c:numCache>
            </c:numRef>
          </c:val>
        </c:ser>
        <c:dLbls>
          <c:showLegendKey val="false"/>
          <c:showVal val="false"/>
          <c:showCatName val="false"/>
          <c:showSerName val="false"/>
          <c:showPercent val="false"/>
          <c:showBubbleSize val="false"/>
        </c:dLbls>
        <c:gapWidth val="150"/>
        <c:axId val="293045760"/>
        <c:axId val="293047296"/>
      </c:barChart>
      <c:catAx>
        <c:axId val="293045760"/>
        <c:scaling>
          <c:orientation val="minMax"/>
        </c:scaling>
        <c:delete val="fals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93047296"/>
        <c:crosses val="autoZero"/>
        <c:auto val="true"/>
        <c:lblAlgn val="ctr"/>
        <c:lblOffset val="100"/>
        <c:noMultiLvlLbl val="false"/>
      </c:catAx>
      <c:valAx>
        <c:axId val="29304729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93045760"/>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Lbls>
            <c:delete val="true"/>
          </c:dLbls>
          <c:cat>
            <c:strRef>
              <c:f>Sheet1!$A$2:$A$7</c:f>
              <c:strCache>
                <c:ptCount val="6"/>
                <c:pt idx="0">
                  <c:v>一般公共服务支出</c:v>
                </c:pt>
                <c:pt idx="1">
                  <c:v>社会保障和就业支出</c:v>
                </c:pt>
                <c:pt idx="2">
                  <c:v>卫生健康支出</c:v>
                </c:pt>
                <c:pt idx="3">
                  <c:v>交通运输支出</c:v>
                </c:pt>
                <c:pt idx="4">
                  <c:v>住房保障支出</c:v>
                </c:pt>
                <c:pt idx="5">
                  <c:v>农林水支出</c:v>
                </c:pt>
              </c:strCache>
            </c:strRef>
          </c:cat>
          <c:val>
            <c:numRef>
              <c:f>Sheet1!$B$2:$B$7</c:f>
              <c:numCache>
                <c:formatCode>General</c:formatCode>
                <c:ptCount val="6"/>
                <c:pt idx="0">
                  <c:v>0.09</c:v>
                </c:pt>
                <c:pt idx="1">
                  <c:v>42.48</c:v>
                </c:pt>
                <c:pt idx="2">
                  <c:v>18.72</c:v>
                </c:pt>
                <c:pt idx="3">
                  <c:v>658.72</c:v>
                </c:pt>
                <c:pt idx="4">
                  <c:v>38.33</c:v>
                </c:pt>
                <c:pt idx="5">
                  <c:v>0.5</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2021年“三公”经费财政拨款支出</c:v>
                </c:pt>
              </c:strCache>
            </c:strRef>
          </c:tx>
          <c:explosion val="0"/>
          <c:dPt>
            <c:idx val="0"/>
            <c:bubble3D val="false"/>
          </c:dPt>
          <c:dPt>
            <c:idx val="1"/>
            <c:bubble3D val="false"/>
          </c:dPt>
          <c:dPt>
            <c:idx val="2"/>
            <c:bubble3D val="false"/>
          </c:dPt>
          <c:dLbls>
            <c:delete val="true"/>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10.59</c:v>
                </c:pt>
                <c:pt idx="2">
                  <c:v>0.15</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27</Pages>
  <Words>1688</Words>
  <Characters>9625</Characters>
  <Lines>80</Lines>
  <Paragraphs>22</Paragraphs>
  <TotalTime>3</TotalTime>
  <ScaleCrop>false</ScaleCrop>
  <LinksUpToDate>false</LinksUpToDate>
  <CharactersWithSpaces>11291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2022-09-07T00:05:00Z</dcterms:created>
  <dc:creator>姜堃</dc:creator>
  <cp:lastModifiedBy>user</cp:lastModifiedBy>
  <cp:lastPrinted>2022-09-08T18:05:00Z</cp:lastPrinted>
  <dcterms:modified xsi:type="dcterms:W3CDTF">2022-09-15T10:10:17Z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